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46" w:rsidRPr="00FF4643" w:rsidRDefault="006B5D46" w:rsidP="00960C40">
      <w:pPr>
        <w:spacing w:after="120"/>
        <w:jc w:val="center"/>
        <w:rPr>
          <w:rFonts w:ascii="Monotype Corsiva" w:hAnsi="Monotype Corsiva"/>
          <w:b/>
          <w:i/>
          <w:sz w:val="28"/>
          <w:szCs w:val="28"/>
          <w:lang w:val="uk-UA"/>
        </w:rPr>
      </w:pPr>
      <w:r w:rsidRPr="00FF4643">
        <w:rPr>
          <w:rFonts w:ascii="Monotype Corsiva" w:hAnsi="Monotype Corsiva"/>
          <w:b/>
          <w:i/>
          <w:sz w:val="28"/>
          <w:szCs w:val="28"/>
          <w:lang w:val="uk-UA"/>
        </w:rPr>
        <w:t>Приватна аудиторська фірма «Олександр і К»</w:t>
      </w:r>
    </w:p>
    <w:p w:rsidR="006B5D46" w:rsidRPr="00FF4643" w:rsidRDefault="006B5D46" w:rsidP="00960C40">
      <w:pPr>
        <w:jc w:val="center"/>
        <w:rPr>
          <w:i/>
          <w:sz w:val="18"/>
          <w:szCs w:val="18"/>
          <w:lang w:val="uk-UA"/>
        </w:rPr>
      </w:pPr>
      <w:r w:rsidRPr="00FF4643">
        <w:rPr>
          <w:i/>
          <w:sz w:val="18"/>
          <w:szCs w:val="18"/>
          <w:lang w:val="uk-UA"/>
        </w:rPr>
        <w:t>Свідоцтво про державну реєстрацію А00 №781304 від 08.09.1999; Свідоцтво Нацкомфінпослуг  № 0021 від 28.03.2013;</w:t>
      </w:r>
    </w:p>
    <w:p w:rsidR="006B5D46" w:rsidRPr="00FF4643" w:rsidRDefault="006B5D46" w:rsidP="00960C40">
      <w:pPr>
        <w:jc w:val="center"/>
        <w:rPr>
          <w:i/>
          <w:sz w:val="18"/>
          <w:szCs w:val="18"/>
          <w:lang w:val="uk-UA"/>
        </w:rPr>
      </w:pPr>
      <w:r w:rsidRPr="00FF4643">
        <w:rPr>
          <w:i/>
          <w:sz w:val="18"/>
          <w:szCs w:val="18"/>
          <w:lang w:val="uk-UA"/>
        </w:rPr>
        <w:t>Свідоцтво АПУ № 2150 від 30.03.2001; Свідоцтво про відповідність системи  контролю якості № 0314 від 20.12.2012</w:t>
      </w:r>
    </w:p>
    <w:p w:rsidR="006B5D46" w:rsidRPr="00FF4643" w:rsidRDefault="00F274BB" w:rsidP="00960C40">
      <w:pPr>
        <w:jc w:val="center"/>
        <w:rPr>
          <w:sz w:val="16"/>
          <w:szCs w:val="16"/>
          <w:u w:val="single"/>
          <w:lang w:val="uk-UA"/>
        </w:rPr>
      </w:pPr>
      <w:r w:rsidRPr="00F274BB">
        <w:rPr>
          <w:noProof/>
        </w:rPr>
        <w:pict>
          <v:shapetype id="_x0000_t32" coordsize="21600,21600" o:spt="32" o:oned="t" path="m,l21600,21600e" filled="f">
            <v:path arrowok="t" fillok="f" o:connecttype="none"/>
            <o:lock v:ext="edit" shapetype="t"/>
          </v:shapetype>
          <v:shape id="_x0000_s1026" type="#_x0000_t32" style="position:absolute;left:0;text-align:left;margin-left:4.5pt;margin-top:5.75pt;width:458.3pt;height:2.5pt;flip:y;z-index:1" o:connectortype="straight" strokeweight="2.5pt"/>
        </w:pict>
      </w:r>
    </w:p>
    <w:p w:rsidR="006B5D46" w:rsidRPr="00FF4643" w:rsidRDefault="006B5D46" w:rsidP="00960C40">
      <w:pPr>
        <w:jc w:val="center"/>
        <w:rPr>
          <w:sz w:val="16"/>
          <w:szCs w:val="16"/>
          <w:u w:val="single"/>
          <w:lang w:val="uk-UA"/>
        </w:rPr>
      </w:pPr>
    </w:p>
    <w:p w:rsidR="006B5D46" w:rsidRPr="00FF4643" w:rsidRDefault="006B5D46" w:rsidP="00960C40">
      <w:pPr>
        <w:jc w:val="center"/>
        <w:rPr>
          <w:sz w:val="16"/>
          <w:szCs w:val="16"/>
          <w:u w:val="single"/>
          <w:lang w:val="uk-UA"/>
        </w:rPr>
      </w:pPr>
    </w:p>
    <w:p w:rsidR="006B5D46" w:rsidRPr="00FF4643" w:rsidRDefault="006B5D46" w:rsidP="00960C40">
      <w:pPr>
        <w:jc w:val="center"/>
        <w:rPr>
          <w:sz w:val="16"/>
          <w:szCs w:val="16"/>
          <w:u w:val="single"/>
          <w:lang w:val="uk-UA"/>
        </w:rPr>
      </w:pPr>
    </w:p>
    <w:p w:rsidR="006B5D46" w:rsidRPr="00FF4643" w:rsidRDefault="006B5D46" w:rsidP="00960C40">
      <w:pPr>
        <w:jc w:val="center"/>
        <w:rPr>
          <w:sz w:val="16"/>
          <w:szCs w:val="16"/>
          <w:u w:val="single"/>
          <w:lang w:val="uk-UA"/>
        </w:rPr>
      </w:pPr>
    </w:p>
    <w:tbl>
      <w:tblPr>
        <w:tblW w:w="13819" w:type="dxa"/>
        <w:tblLayout w:type="fixed"/>
        <w:tblCellMar>
          <w:left w:w="70" w:type="dxa"/>
          <w:right w:w="70" w:type="dxa"/>
        </w:tblCellMar>
        <w:tblLook w:val="0000"/>
      </w:tblPr>
      <w:tblGrid>
        <w:gridCol w:w="3614"/>
        <w:gridCol w:w="1701"/>
        <w:gridCol w:w="4252"/>
        <w:gridCol w:w="4252"/>
      </w:tblGrid>
      <w:tr w:rsidR="006B5D46" w:rsidRPr="00FF4643" w:rsidTr="0037566C">
        <w:tc>
          <w:tcPr>
            <w:tcW w:w="3614" w:type="dxa"/>
          </w:tcPr>
          <w:p w:rsidR="006B5D46" w:rsidRPr="00FF4643" w:rsidRDefault="006B5D46" w:rsidP="00960C40">
            <w:pPr>
              <w:rPr>
                <w:b/>
                <w:sz w:val="20"/>
                <w:szCs w:val="20"/>
                <w:lang w:val="uk-UA"/>
              </w:rPr>
            </w:pPr>
            <w:r w:rsidRPr="00FF4643">
              <w:rPr>
                <w:b/>
                <w:sz w:val="20"/>
                <w:szCs w:val="20"/>
                <w:lang w:val="uk-UA"/>
              </w:rPr>
              <w:t xml:space="preserve">Україна, </w:t>
            </w:r>
            <w:smartTag w:uri="urn:schemas-microsoft-com:office:smarttags" w:element="metricconverter">
              <w:smartTagPr>
                <w:attr w:name="ProductID" w:val="02192, м"/>
              </w:smartTagPr>
              <w:r w:rsidRPr="00FF4643">
                <w:rPr>
                  <w:b/>
                  <w:sz w:val="20"/>
                  <w:szCs w:val="20"/>
                  <w:lang w:val="uk-UA"/>
                </w:rPr>
                <w:t>02192, м</w:t>
              </w:r>
            </w:smartTag>
            <w:r w:rsidRPr="00FF4643">
              <w:rPr>
                <w:b/>
                <w:sz w:val="20"/>
                <w:szCs w:val="20"/>
                <w:lang w:val="uk-UA"/>
              </w:rPr>
              <w:t xml:space="preserve">.Київ                                                                                                           </w:t>
            </w:r>
          </w:p>
          <w:p w:rsidR="006B5D46" w:rsidRPr="00FF4643" w:rsidRDefault="006B5D46" w:rsidP="00960C40">
            <w:pPr>
              <w:rPr>
                <w:b/>
                <w:sz w:val="20"/>
                <w:szCs w:val="20"/>
                <w:lang w:val="uk-UA"/>
              </w:rPr>
            </w:pPr>
            <w:r w:rsidRPr="00FF4643">
              <w:rPr>
                <w:b/>
                <w:sz w:val="20"/>
                <w:szCs w:val="20"/>
                <w:lang w:val="uk-UA"/>
              </w:rPr>
              <w:t>вул. Юності 8/2, оф. 47</w:t>
            </w:r>
          </w:p>
          <w:p w:rsidR="006B5D46" w:rsidRPr="00FF4643" w:rsidRDefault="006B5D46" w:rsidP="00960C40">
            <w:pPr>
              <w:rPr>
                <w:b/>
                <w:sz w:val="20"/>
                <w:szCs w:val="20"/>
                <w:lang w:val="uk-UA"/>
              </w:rPr>
            </w:pPr>
            <w:r w:rsidRPr="00FF4643">
              <w:rPr>
                <w:b/>
                <w:sz w:val="20"/>
                <w:szCs w:val="20"/>
                <w:lang w:val="uk-UA"/>
              </w:rPr>
              <w:t>тел. (050) 351-33-59</w:t>
            </w:r>
          </w:p>
          <w:p w:rsidR="006B5D46" w:rsidRPr="00FF4643" w:rsidRDefault="006B5D46" w:rsidP="00960C40">
            <w:pPr>
              <w:rPr>
                <w:b/>
                <w:sz w:val="20"/>
                <w:szCs w:val="20"/>
                <w:lang w:val="uk-UA"/>
              </w:rPr>
            </w:pPr>
            <w:r w:rsidRPr="00FF4643">
              <w:rPr>
                <w:b/>
                <w:sz w:val="20"/>
                <w:szCs w:val="20"/>
                <w:lang w:val="uk-UA"/>
              </w:rPr>
              <w:t>e-mail: palnikov.alex@mail.ru</w:t>
            </w:r>
          </w:p>
          <w:p w:rsidR="006B5D46" w:rsidRPr="00FF4643" w:rsidRDefault="006B5D46" w:rsidP="00960C40">
            <w:pPr>
              <w:ind w:right="-524"/>
              <w:jc w:val="both"/>
              <w:rPr>
                <w:lang w:val="uk-UA"/>
              </w:rPr>
            </w:pPr>
          </w:p>
        </w:tc>
        <w:tc>
          <w:tcPr>
            <w:tcW w:w="1701" w:type="dxa"/>
          </w:tcPr>
          <w:p w:rsidR="006B5D46" w:rsidRPr="00FF4643" w:rsidRDefault="006B5D46" w:rsidP="00960C40">
            <w:pPr>
              <w:ind w:right="-524"/>
              <w:jc w:val="both"/>
              <w:rPr>
                <w:lang w:val="uk-UA"/>
              </w:rPr>
            </w:pPr>
          </w:p>
        </w:tc>
        <w:tc>
          <w:tcPr>
            <w:tcW w:w="4252" w:type="dxa"/>
          </w:tcPr>
          <w:p w:rsidR="006B5D46" w:rsidRPr="00FF4643" w:rsidRDefault="006B5D46" w:rsidP="00960C40">
            <w:pPr>
              <w:keepNext/>
              <w:suppressAutoHyphens/>
              <w:overflowPunct w:val="0"/>
              <w:autoSpaceDE w:val="0"/>
              <w:autoSpaceDN w:val="0"/>
              <w:adjustRightInd w:val="0"/>
              <w:ind w:left="1631"/>
              <w:jc w:val="both"/>
              <w:textAlignment w:val="baseline"/>
              <w:outlineLvl w:val="1"/>
              <w:rPr>
                <w:rFonts w:ascii="TimesET Cyr" w:hAnsi="TimesET Cyr"/>
                <w:b/>
                <w:bCs/>
                <w:sz w:val="20"/>
                <w:szCs w:val="20"/>
                <w:lang w:val="uk-UA"/>
              </w:rPr>
            </w:pPr>
            <w:r w:rsidRPr="00FF4643">
              <w:rPr>
                <w:rFonts w:ascii="TimesET Cyr" w:hAnsi="TimesET Cyr"/>
                <w:b/>
                <w:bCs/>
                <w:sz w:val="20"/>
                <w:szCs w:val="20"/>
                <w:lang w:val="uk-UA"/>
              </w:rPr>
              <w:t>ЄДРПОУ 30525809</w:t>
            </w:r>
          </w:p>
          <w:p w:rsidR="006B5D46" w:rsidRPr="00FF4643" w:rsidRDefault="006B5D46" w:rsidP="00960C40">
            <w:pPr>
              <w:ind w:left="1631"/>
              <w:jc w:val="both"/>
              <w:rPr>
                <w:b/>
                <w:bCs/>
                <w:sz w:val="20"/>
                <w:szCs w:val="20"/>
                <w:lang w:val="uk-UA"/>
              </w:rPr>
            </w:pPr>
            <w:r w:rsidRPr="00FF4643">
              <w:rPr>
                <w:b/>
                <w:bCs/>
                <w:sz w:val="20"/>
                <w:szCs w:val="20"/>
                <w:lang w:val="uk-UA"/>
              </w:rPr>
              <w:t>п/р 2600830101897</w:t>
            </w:r>
          </w:p>
          <w:p w:rsidR="006B5D46" w:rsidRPr="00FF4643" w:rsidRDefault="006B5D46" w:rsidP="00960C40">
            <w:pPr>
              <w:ind w:left="1631"/>
              <w:jc w:val="both"/>
              <w:rPr>
                <w:b/>
                <w:bCs/>
                <w:sz w:val="20"/>
                <w:szCs w:val="20"/>
                <w:lang w:val="uk-UA"/>
              </w:rPr>
            </w:pPr>
            <w:r w:rsidRPr="00FF4643">
              <w:rPr>
                <w:b/>
                <w:bCs/>
                <w:sz w:val="20"/>
                <w:szCs w:val="20"/>
                <w:lang w:val="uk-UA"/>
              </w:rPr>
              <w:t>в ПАТ “ВТБ Банк”</w:t>
            </w:r>
          </w:p>
          <w:p w:rsidR="006B5D46" w:rsidRPr="00FF4643" w:rsidRDefault="006B5D46" w:rsidP="00960C40">
            <w:pPr>
              <w:ind w:left="1631"/>
              <w:rPr>
                <w:sz w:val="23"/>
                <w:szCs w:val="23"/>
                <w:lang w:val="uk-UA"/>
              </w:rPr>
            </w:pPr>
            <w:r w:rsidRPr="00FF4643">
              <w:rPr>
                <w:b/>
                <w:bCs/>
                <w:sz w:val="20"/>
                <w:szCs w:val="20"/>
                <w:lang w:val="uk-UA"/>
              </w:rPr>
              <w:t>м. Києва, МФО 321767</w:t>
            </w:r>
          </w:p>
        </w:tc>
        <w:tc>
          <w:tcPr>
            <w:tcW w:w="4252" w:type="dxa"/>
          </w:tcPr>
          <w:p w:rsidR="006B5D46" w:rsidRPr="00FF4643" w:rsidRDefault="006B5D46" w:rsidP="00960C40">
            <w:pPr>
              <w:ind w:right="-524"/>
              <w:rPr>
                <w:lang w:val="uk-UA"/>
              </w:rPr>
            </w:pPr>
          </w:p>
        </w:tc>
      </w:tr>
    </w:tbl>
    <w:p w:rsidR="006B5D46" w:rsidRPr="00FF4643" w:rsidRDefault="006B5D46" w:rsidP="00960C40">
      <w:pPr>
        <w:spacing w:after="200" w:line="276" w:lineRule="auto"/>
        <w:rPr>
          <w:rFonts w:ascii="Monotype Corsiva" w:hAnsi="Monotype Corsiva"/>
          <w:b/>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jc w:val="center"/>
        <w:rPr>
          <w:b/>
          <w:sz w:val="28"/>
          <w:szCs w:val="28"/>
          <w:lang w:val="uk-UA"/>
        </w:rPr>
      </w:pPr>
      <w:r w:rsidRPr="00FF4643">
        <w:rPr>
          <w:b/>
          <w:sz w:val="28"/>
          <w:szCs w:val="28"/>
          <w:lang w:val="uk-UA"/>
        </w:rPr>
        <w:t>Аудиторський Звіт (висновок)</w:t>
      </w:r>
    </w:p>
    <w:p w:rsidR="006B5D46" w:rsidRPr="00FF4643" w:rsidRDefault="006B5D46" w:rsidP="00960C40">
      <w:pPr>
        <w:jc w:val="center"/>
        <w:rPr>
          <w:sz w:val="28"/>
          <w:szCs w:val="28"/>
          <w:lang w:val="uk-UA"/>
        </w:rPr>
      </w:pPr>
      <w:r w:rsidRPr="00FF4643">
        <w:rPr>
          <w:b/>
          <w:sz w:val="28"/>
          <w:szCs w:val="28"/>
          <w:lang w:val="uk-UA"/>
        </w:rPr>
        <w:t>незалежних аудиторів</w:t>
      </w:r>
    </w:p>
    <w:p w:rsidR="006B5D46" w:rsidRPr="00FF4643" w:rsidRDefault="006B5D46" w:rsidP="00960C40">
      <w:pPr>
        <w:keepNext/>
        <w:numPr>
          <w:ilvl w:val="3"/>
          <w:numId w:val="0"/>
        </w:numPr>
        <w:suppressAutoHyphens/>
        <w:overflowPunct w:val="0"/>
        <w:autoSpaceDE w:val="0"/>
        <w:autoSpaceDN w:val="0"/>
        <w:adjustRightInd w:val="0"/>
        <w:jc w:val="center"/>
        <w:textAlignment w:val="baseline"/>
        <w:outlineLvl w:val="3"/>
        <w:rPr>
          <w:b/>
          <w:bCs/>
          <w:iCs/>
          <w:sz w:val="28"/>
          <w:szCs w:val="28"/>
          <w:lang w:val="uk-UA"/>
        </w:rPr>
      </w:pPr>
      <w:r w:rsidRPr="00FF4643">
        <w:rPr>
          <w:b/>
          <w:bCs/>
          <w:iCs/>
          <w:sz w:val="28"/>
          <w:szCs w:val="28"/>
          <w:lang w:val="uk-UA"/>
        </w:rPr>
        <w:t>та фінансова звітність</w:t>
      </w:r>
    </w:p>
    <w:p w:rsidR="006B5D46" w:rsidRPr="00FF4643" w:rsidRDefault="006B5D46" w:rsidP="00960C40">
      <w:pPr>
        <w:jc w:val="center"/>
        <w:rPr>
          <w:b/>
          <w:sz w:val="28"/>
          <w:szCs w:val="28"/>
          <w:lang w:val="uk-UA"/>
        </w:rPr>
      </w:pPr>
      <w:r w:rsidRPr="00FF4643">
        <w:rPr>
          <w:b/>
          <w:sz w:val="28"/>
          <w:szCs w:val="28"/>
          <w:lang w:val="uk-UA"/>
        </w:rPr>
        <w:t>Приватного акціонерного товариства «Страхова компанія «Реноме»</w:t>
      </w:r>
    </w:p>
    <w:p w:rsidR="006B5D46" w:rsidRPr="00FF4643" w:rsidRDefault="006B5D46" w:rsidP="00960C40">
      <w:pPr>
        <w:jc w:val="center"/>
        <w:rPr>
          <w:b/>
          <w:bCs/>
          <w:lang w:val="uk-UA"/>
        </w:rPr>
      </w:pPr>
      <w:r w:rsidRPr="00FF4643">
        <w:rPr>
          <w:b/>
          <w:bCs/>
          <w:sz w:val="28"/>
          <w:szCs w:val="28"/>
          <w:lang w:val="uk-UA"/>
        </w:rPr>
        <w:t>за рік, що закінчився 31.12.2015 року</w:t>
      </w:r>
    </w:p>
    <w:p w:rsidR="006B5D46" w:rsidRPr="00FF4643" w:rsidRDefault="006B5D46" w:rsidP="00960C40">
      <w:pPr>
        <w:jc w:val="center"/>
        <w:rPr>
          <w:b/>
          <w:bCs/>
          <w:u w:val="single"/>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r w:rsidRPr="00FF4643">
        <w:rPr>
          <w:rFonts w:ascii="Monotype Corsiva" w:hAnsi="Monotype Corsiva"/>
          <w:b/>
          <w:i/>
          <w:sz w:val="28"/>
          <w:szCs w:val="28"/>
          <w:lang w:val="uk-UA"/>
        </w:rPr>
        <w:t xml:space="preserve"> </w:t>
      </w: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960C40">
      <w:pPr>
        <w:spacing w:after="200" w:line="276" w:lineRule="auto"/>
        <w:rPr>
          <w:rFonts w:ascii="Monotype Corsiva" w:hAnsi="Monotype Corsiva"/>
          <w:b/>
          <w:i/>
          <w:sz w:val="28"/>
          <w:szCs w:val="28"/>
          <w:lang w:val="uk-UA"/>
        </w:rPr>
      </w:pPr>
    </w:p>
    <w:p w:rsidR="006B5D46" w:rsidRPr="00FF4643" w:rsidRDefault="006B5D46" w:rsidP="00CD58BC">
      <w:pPr>
        <w:spacing w:after="120"/>
        <w:jc w:val="center"/>
        <w:rPr>
          <w:rFonts w:ascii="Arial Black" w:hAnsi="Arial Black"/>
          <w:b/>
          <w:sz w:val="28"/>
          <w:szCs w:val="28"/>
          <w:lang w:val="uk-UA"/>
        </w:rPr>
      </w:pPr>
      <w:r w:rsidRPr="00FF4643">
        <w:rPr>
          <w:rFonts w:ascii="Arial Black" w:hAnsi="Arial Black"/>
          <w:b/>
          <w:sz w:val="28"/>
          <w:szCs w:val="28"/>
          <w:lang w:val="uk-UA"/>
        </w:rPr>
        <w:t>Приватна аудиторська фірма «Олександр і К»</w:t>
      </w:r>
    </w:p>
    <w:p w:rsidR="006B5D46" w:rsidRPr="00FF4643" w:rsidRDefault="006B5D46" w:rsidP="00CD58BC">
      <w:pPr>
        <w:jc w:val="center"/>
        <w:rPr>
          <w:i/>
          <w:sz w:val="16"/>
          <w:szCs w:val="16"/>
          <w:lang w:val="uk-UA"/>
        </w:rPr>
      </w:pPr>
      <w:r w:rsidRPr="00FF4643">
        <w:rPr>
          <w:i/>
          <w:sz w:val="16"/>
          <w:szCs w:val="16"/>
          <w:lang w:val="uk-UA"/>
        </w:rPr>
        <w:t>Свідоцтво про державну реєстрацію А00 №781304, видане Дніпровською</w:t>
      </w:r>
      <w:r w:rsidRPr="00FF4643">
        <w:rPr>
          <w:sz w:val="20"/>
          <w:szCs w:val="20"/>
          <w:lang w:val="uk-UA"/>
        </w:rPr>
        <w:t xml:space="preserve"> </w:t>
      </w:r>
      <w:r w:rsidRPr="00FF4643">
        <w:rPr>
          <w:i/>
          <w:sz w:val="16"/>
          <w:szCs w:val="16"/>
          <w:lang w:val="uk-UA"/>
        </w:rPr>
        <w:t>в м. Києві державною адміністрацією 08.09.1999;</w:t>
      </w:r>
    </w:p>
    <w:p w:rsidR="006B5D46" w:rsidRPr="00FF4643" w:rsidRDefault="006B5D46" w:rsidP="00CD58BC">
      <w:pPr>
        <w:jc w:val="center"/>
        <w:rPr>
          <w:i/>
          <w:sz w:val="16"/>
          <w:szCs w:val="16"/>
          <w:lang w:val="uk-UA"/>
        </w:rPr>
      </w:pPr>
      <w:r w:rsidRPr="00FF4643">
        <w:rPr>
          <w:i/>
          <w:sz w:val="16"/>
          <w:szCs w:val="16"/>
          <w:lang w:val="uk-UA"/>
        </w:rPr>
        <w:t>Свідоцтво АПУ № 2150 від 30.03.2001, чинне до 24.12.2020; Свідоцтво Нацкомфінпослу</w:t>
      </w:r>
      <w:r w:rsidRPr="0028550D">
        <w:rPr>
          <w:i/>
          <w:sz w:val="16"/>
          <w:szCs w:val="16"/>
          <w:lang w:val="uk-UA"/>
        </w:rPr>
        <w:t>г</w:t>
      </w:r>
      <w:r w:rsidRPr="00FF4643">
        <w:rPr>
          <w:i/>
          <w:sz w:val="16"/>
          <w:szCs w:val="16"/>
          <w:lang w:val="uk-UA"/>
        </w:rPr>
        <w:t xml:space="preserve">  № 0021 від 28.05.2013, чинне до 24.12.2020</w:t>
      </w:r>
    </w:p>
    <w:p w:rsidR="006B5D46" w:rsidRPr="00FF4643" w:rsidRDefault="006B5D46" w:rsidP="00CD58BC">
      <w:pPr>
        <w:jc w:val="center"/>
        <w:rPr>
          <w:sz w:val="20"/>
          <w:szCs w:val="20"/>
          <w:u w:val="single"/>
          <w:lang w:val="uk-UA"/>
        </w:rPr>
      </w:pPr>
      <w:r w:rsidRPr="00FF4643">
        <w:rPr>
          <w:sz w:val="16"/>
          <w:szCs w:val="16"/>
          <w:u w:val="single"/>
          <w:lang w:val="uk-UA"/>
        </w:rPr>
        <w:t>м. Київ, вул. Юності 8/2, оф. 47; код 30525809</w:t>
      </w:r>
      <w:r w:rsidRPr="00FF4643">
        <w:rPr>
          <w:sz w:val="20"/>
          <w:szCs w:val="20"/>
          <w:u w:val="single"/>
          <w:lang w:val="uk-UA"/>
        </w:rPr>
        <w:t xml:space="preserve">;  </w:t>
      </w:r>
      <w:r w:rsidRPr="00FF4643">
        <w:rPr>
          <w:sz w:val="16"/>
          <w:szCs w:val="16"/>
          <w:u w:val="single"/>
          <w:lang w:val="uk-UA"/>
        </w:rPr>
        <w:t xml:space="preserve">р/р № </w:t>
      </w:r>
      <w:r w:rsidRPr="00FF4643">
        <w:rPr>
          <w:snapToGrid w:val="0"/>
          <w:color w:val="000000"/>
          <w:sz w:val="16"/>
          <w:szCs w:val="16"/>
          <w:u w:val="single"/>
          <w:lang w:val="uk-UA"/>
        </w:rPr>
        <w:t>26008301018976</w:t>
      </w:r>
      <w:r w:rsidRPr="00FF4643">
        <w:rPr>
          <w:sz w:val="16"/>
          <w:szCs w:val="16"/>
          <w:u w:val="single"/>
          <w:lang w:val="uk-UA"/>
        </w:rPr>
        <w:t xml:space="preserve"> в ПАТ „ВТБ Банк”  м. Києва, МФО 321767, тел.: (050) 351-33-59</w:t>
      </w:r>
    </w:p>
    <w:p w:rsidR="006B5D46" w:rsidRPr="00FF4643" w:rsidRDefault="006B5D46" w:rsidP="00960C40">
      <w:pPr>
        <w:jc w:val="center"/>
        <w:rPr>
          <w:b/>
          <w:u w:val="single"/>
          <w:lang w:val="uk-UA"/>
        </w:rPr>
      </w:pPr>
    </w:p>
    <w:p w:rsidR="006B5D46" w:rsidRPr="00FF4643" w:rsidRDefault="006B5D46" w:rsidP="00960C40">
      <w:pPr>
        <w:jc w:val="center"/>
        <w:rPr>
          <w:b/>
          <w:u w:val="single"/>
          <w:lang w:val="uk-UA"/>
        </w:rPr>
      </w:pPr>
      <w:r w:rsidRPr="00FF4643">
        <w:rPr>
          <w:b/>
          <w:u w:val="single"/>
          <w:lang w:val="uk-UA"/>
        </w:rPr>
        <w:t>АУДИТОРСЬКИЙ ВИСНОВОК</w:t>
      </w:r>
    </w:p>
    <w:p w:rsidR="006B5D46" w:rsidRPr="00FF4643" w:rsidRDefault="006B5D46" w:rsidP="00960C40">
      <w:pPr>
        <w:jc w:val="center"/>
        <w:rPr>
          <w:b/>
          <w:lang w:val="uk-UA"/>
        </w:rPr>
      </w:pPr>
      <w:r w:rsidRPr="00FF4643">
        <w:rPr>
          <w:b/>
          <w:lang w:val="uk-UA"/>
        </w:rPr>
        <w:t xml:space="preserve">(звіт незалежного аудитора) щодо фінансової звітності страховика </w:t>
      </w:r>
    </w:p>
    <w:p w:rsidR="006B5D46" w:rsidRPr="00FF4643" w:rsidRDefault="006B5D46" w:rsidP="00960C40">
      <w:pPr>
        <w:jc w:val="center"/>
        <w:rPr>
          <w:b/>
          <w:lang w:val="uk-UA"/>
        </w:rPr>
      </w:pPr>
      <w:r w:rsidRPr="00FF4643">
        <w:rPr>
          <w:b/>
          <w:color w:val="0000FF"/>
          <w:lang w:val="uk-UA"/>
        </w:rPr>
        <w:t xml:space="preserve"> </w:t>
      </w:r>
      <w:r w:rsidRPr="00FF4643">
        <w:rPr>
          <w:b/>
          <w:lang w:val="uk-UA"/>
        </w:rPr>
        <w:t>Приватного акціонерного товариства «Страхова компанія «Реноме»</w:t>
      </w:r>
      <w:r w:rsidRPr="00FF4643">
        <w:rPr>
          <w:b/>
          <w:color w:val="0000FF"/>
          <w:lang w:val="uk-UA"/>
        </w:rPr>
        <w:t xml:space="preserve"> </w:t>
      </w:r>
      <w:r w:rsidRPr="00FF4643">
        <w:rPr>
          <w:b/>
          <w:lang w:val="uk-UA"/>
        </w:rPr>
        <w:t>за 2015 рік</w:t>
      </w:r>
    </w:p>
    <w:p w:rsidR="006B5D46" w:rsidRPr="00FF4643" w:rsidRDefault="006B5D46" w:rsidP="00960C40">
      <w:pPr>
        <w:rPr>
          <w:b/>
          <w:lang w:val="uk-UA"/>
        </w:rPr>
      </w:pPr>
    </w:p>
    <w:p w:rsidR="006B5D46" w:rsidRPr="00FF4643" w:rsidRDefault="006B5D46" w:rsidP="00AA1E4A">
      <w:pPr>
        <w:rPr>
          <w:b/>
          <w:i/>
          <w:lang w:val="uk-UA"/>
        </w:rPr>
      </w:pPr>
      <w:r w:rsidRPr="00FF4643">
        <w:rPr>
          <w:b/>
          <w:lang w:val="uk-UA"/>
        </w:rPr>
        <w:t>Адресат</w:t>
      </w:r>
    </w:p>
    <w:p w:rsidR="006B5D46" w:rsidRPr="00FF4643" w:rsidRDefault="006B5D46" w:rsidP="00AA1E4A">
      <w:pPr>
        <w:rPr>
          <w:bCs/>
          <w:i/>
          <w:lang w:val="uk-UA"/>
        </w:rPr>
      </w:pPr>
      <w:r w:rsidRPr="00FF4643">
        <w:rPr>
          <w:bCs/>
          <w:i/>
          <w:lang w:val="uk-UA"/>
        </w:rPr>
        <w:t>Національна комісія що здійснює Державне регулювання у сфері ринків фінансових  послуг</w:t>
      </w:r>
      <w:r w:rsidRPr="00FF4643">
        <w:rPr>
          <w:b/>
          <w:bCs/>
          <w:i/>
          <w:lang w:val="uk-UA"/>
        </w:rPr>
        <w:t xml:space="preserve"> </w:t>
      </w:r>
      <w:r w:rsidRPr="00FF4643">
        <w:rPr>
          <w:i/>
          <w:lang w:val="uk-UA"/>
        </w:rPr>
        <w:t xml:space="preserve">Національна комісія з цінних паперів та фондового ринку </w:t>
      </w:r>
    </w:p>
    <w:p w:rsidR="006B5D46" w:rsidRPr="00FF4643" w:rsidRDefault="006B5D46" w:rsidP="00AA1E4A">
      <w:pPr>
        <w:rPr>
          <w:b/>
          <w:i/>
          <w:lang w:val="uk-UA"/>
        </w:rPr>
      </w:pPr>
      <w:r w:rsidRPr="00FF4643">
        <w:rPr>
          <w:i/>
          <w:lang w:val="uk-UA"/>
        </w:rPr>
        <w:t>Власники цінних паперів, керівництво емітента</w:t>
      </w:r>
    </w:p>
    <w:p w:rsidR="006B5D46" w:rsidRPr="00FF4643" w:rsidRDefault="006B5D46" w:rsidP="00960C40">
      <w:pPr>
        <w:rPr>
          <w:b/>
          <w:i/>
          <w:lang w:val="uk-UA"/>
        </w:rPr>
      </w:pPr>
    </w:p>
    <w:p w:rsidR="006B5D46" w:rsidRPr="00FF4643" w:rsidRDefault="006B5D46" w:rsidP="00AA1E4A">
      <w:pPr>
        <w:spacing w:before="120"/>
        <w:ind w:firstLine="708"/>
        <w:jc w:val="both"/>
        <w:rPr>
          <w:lang w:val="uk-UA"/>
        </w:rPr>
      </w:pPr>
      <w:r w:rsidRPr="00FF4643">
        <w:rPr>
          <w:lang w:val="uk-UA"/>
        </w:rPr>
        <w:t xml:space="preserve">Ми, Приватна аудиторська фірма «Олександр і К», провели аудит фінансової звітності </w:t>
      </w:r>
      <w:r w:rsidRPr="00FF4643">
        <w:rPr>
          <w:b/>
          <w:lang w:val="uk-UA"/>
        </w:rPr>
        <w:t>Приватного акціонерного товариства «</w:t>
      </w:r>
      <w:r w:rsidRPr="00FF4643">
        <w:rPr>
          <w:b/>
          <w:bCs/>
          <w:lang w:val="uk-UA"/>
        </w:rPr>
        <w:t>Страхова компанія</w:t>
      </w:r>
      <w:r w:rsidRPr="00FF4643">
        <w:rPr>
          <w:b/>
          <w:lang w:val="uk-UA"/>
        </w:rPr>
        <w:t xml:space="preserve"> </w:t>
      </w:r>
      <w:r w:rsidRPr="00FF4643">
        <w:rPr>
          <w:b/>
          <w:bCs/>
          <w:lang w:val="uk-UA"/>
        </w:rPr>
        <w:t>«Реноме»</w:t>
      </w:r>
      <w:r w:rsidRPr="00FF4643">
        <w:rPr>
          <w:lang w:val="uk-UA"/>
        </w:rPr>
        <w:t xml:space="preserve"> </w:t>
      </w:r>
      <w:r w:rsidRPr="0028550D">
        <w:rPr>
          <w:lang w:val="uk-UA"/>
        </w:rPr>
        <w:t>(надалі – ПрАТ «СК «Реноме» або страховик)</w:t>
      </w:r>
      <w:r w:rsidRPr="00FF4643">
        <w:rPr>
          <w:lang w:val="uk-UA"/>
        </w:rPr>
        <w:t xml:space="preserve"> за 2015 рік, </w:t>
      </w:r>
      <w:r w:rsidRPr="00FF4643">
        <w:rPr>
          <w:iCs/>
          <w:lang w:val="uk-UA"/>
        </w:rPr>
        <w:t>та</w:t>
      </w:r>
      <w:r w:rsidRPr="00FF4643">
        <w:rPr>
          <w:i/>
          <w:iCs/>
          <w:lang w:val="uk-UA"/>
        </w:rPr>
        <w:t xml:space="preserve"> </w:t>
      </w:r>
      <w:r w:rsidRPr="00FF4643">
        <w:rPr>
          <w:lang w:val="uk-UA"/>
        </w:rPr>
        <w:t>іншої пояснювальної інформації, розкриття якої передбачено нормативними актами</w:t>
      </w:r>
      <w:r w:rsidRPr="00FF4643">
        <w:rPr>
          <w:b/>
          <w:i/>
          <w:lang w:val="uk-UA"/>
        </w:rPr>
        <w:t xml:space="preserve"> </w:t>
      </w:r>
      <w:r w:rsidRPr="00FF4643">
        <w:rPr>
          <w:bCs/>
          <w:lang w:val="uk-UA"/>
        </w:rPr>
        <w:t>Національної комісії що здійснює Державне регулювання у сфері ринків фінансових послуг</w:t>
      </w:r>
      <w:r w:rsidRPr="00FF4643">
        <w:rPr>
          <w:lang w:val="uk-UA"/>
        </w:rPr>
        <w:t>, Національної комісії з цінних паперів та фондового ринку.</w:t>
      </w:r>
    </w:p>
    <w:p w:rsidR="006B5D46" w:rsidRPr="00FF4643" w:rsidRDefault="006B5D46" w:rsidP="00035952">
      <w:pPr>
        <w:rPr>
          <w:b/>
          <w:i/>
          <w:lang w:val="uk-UA"/>
        </w:rPr>
      </w:pPr>
      <w:r w:rsidRPr="00FF4643">
        <w:rPr>
          <w:i/>
          <w:lang w:val="uk-UA"/>
        </w:rPr>
        <w:t xml:space="preserve">                   </w:t>
      </w:r>
    </w:p>
    <w:p w:rsidR="006B5D46" w:rsidRPr="00FF4643" w:rsidRDefault="006B5D46" w:rsidP="00960C40">
      <w:pPr>
        <w:rPr>
          <w:lang w:val="uk-UA"/>
        </w:rPr>
      </w:pPr>
    </w:p>
    <w:p w:rsidR="006B5D46" w:rsidRPr="00FF4643" w:rsidRDefault="006B5D46" w:rsidP="00960C40">
      <w:pPr>
        <w:widowControl w:val="0"/>
        <w:autoSpaceDE w:val="0"/>
        <w:autoSpaceDN w:val="0"/>
        <w:adjustRightInd w:val="0"/>
        <w:jc w:val="both"/>
        <w:rPr>
          <w:b/>
          <w:sz w:val="28"/>
          <w:szCs w:val="28"/>
          <w:u w:val="single"/>
          <w:lang w:val="uk-UA"/>
        </w:rPr>
      </w:pPr>
      <w:r w:rsidRPr="00FF4643">
        <w:rPr>
          <w:b/>
          <w:sz w:val="28"/>
          <w:szCs w:val="28"/>
          <w:u w:val="single"/>
          <w:lang w:val="uk-UA"/>
        </w:rPr>
        <w:t>Розділ 1. Звіт щодо фінансової звітності</w:t>
      </w:r>
    </w:p>
    <w:p w:rsidR="006B5D46" w:rsidRPr="00FF4643" w:rsidRDefault="006B5D46" w:rsidP="00960C40">
      <w:pPr>
        <w:jc w:val="both"/>
        <w:rPr>
          <w:b/>
          <w:lang w:val="uk-UA"/>
        </w:rPr>
      </w:pPr>
    </w:p>
    <w:p w:rsidR="006B5D46" w:rsidRPr="00FF4643" w:rsidRDefault="006B5D46" w:rsidP="00960C40">
      <w:pPr>
        <w:jc w:val="both"/>
        <w:rPr>
          <w:b/>
          <w:lang w:val="uk-UA"/>
        </w:rPr>
      </w:pPr>
      <w:r w:rsidRPr="00FF4643">
        <w:rPr>
          <w:b/>
          <w:lang w:val="uk-UA"/>
        </w:rPr>
        <w:t>1.1. Вступний параграф</w:t>
      </w:r>
    </w:p>
    <w:p w:rsidR="006B5D46" w:rsidRPr="00FF4643" w:rsidRDefault="006B5D46" w:rsidP="00AA1E4A">
      <w:pPr>
        <w:spacing w:before="120"/>
        <w:jc w:val="both"/>
        <w:rPr>
          <w:b/>
          <w:i/>
          <w:lang w:val="uk-UA"/>
        </w:rPr>
      </w:pPr>
      <w:r w:rsidRPr="00FF4643">
        <w:rPr>
          <w:b/>
          <w:i/>
          <w:lang w:val="uk-UA"/>
        </w:rPr>
        <w:t>Основні відомості про юридичну особу</w:t>
      </w:r>
    </w:p>
    <w:p w:rsidR="006B5D46" w:rsidRPr="00FF4643" w:rsidRDefault="006B5D46" w:rsidP="00AA1E4A">
      <w:pPr>
        <w:numPr>
          <w:ilvl w:val="0"/>
          <w:numId w:val="3"/>
        </w:numPr>
        <w:spacing w:before="120"/>
        <w:ind w:left="426" w:hanging="426"/>
        <w:jc w:val="both"/>
        <w:rPr>
          <w:lang w:val="uk-UA"/>
        </w:rPr>
      </w:pPr>
      <w:r w:rsidRPr="00FF4643">
        <w:rPr>
          <w:lang w:val="uk-UA"/>
        </w:rPr>
        <w:t xml:space="preserve">повне найменування – Приватне акціонерне </w:t>
      </w:r>
      <w:r w:rsidRPr="00FF4643">
        <w:rPr>
          <w:color w:val="000000"/>
          <w:lang w:val="uk-UA"/>
        </w:rPr>
        <w:t xml:space="preserve">товариство </w:t>
      </w:r>
      <w:r w:rsidRPr="00FF4643">
        <w:rPr>
          <w:lang w:val="uk-UA"/>
        </w:rPr>
        <w:t>«Страхова компанія «Реноме»;</w:t>
      </w:r>
    </w:p>
    <w:p w:rsidR="006B5D46" w:rsidRPr="00FF4643" w:rsidRDefault="006B5D46" w:rsidP="00AA1E4A">
      <w:pPr>
        <w:numPr>
          <w:ilvl w:val="0"/>
          <w:numId w:val="3"/>
        </w:numPr>
        <w:ind w:left="426" w:hanging="426"/>
        <w:jc w:val="both"/>
        <w:rPr>
          <w:lang w:val="uk-UA"/>
        </w:rPr>
      </w:pPr>
      <w:r w:rsidRPr="00FF4643">
        <w:rPr>
          <w:lang w:val="uk-UA"/>
        </w:rPr>
        <w:t>код за ЄДРПОУ – 19247460</w:t>
      </w:r>
      <w:r w:rsidRPr="00FF4643">
        <w:rPr>
          <w:color w:val="000000"/>
          <w:lang w:val="uk-UA"/>
        </w:rPr>
        <w:t>;</w:t>
      </w:r>
    </w:p>
    <w:p w:rsidR="006B5D46" w:rsidRPr="00FF4643" w:rsidRDefault="006B5D46" w:rsidP="00AA1E4A">
      <w:pPr>
        <w:numPr>
          <w:ilvl w:val="0"/>
          <w:numId w:val="3"/>
        </w:numPr>
        <w:ind w:left="426" w:hanging="426"/>
        <w:jc w:val="both"/>
        <w:rPr>
          <w:lang w:val="uk-UA"/>
        </w:rPr>
      </w:pPr>
      <w:r w:rsidRPr="00FF4643">
        <w:rPr>
          <w:lang w:val="uk-UA"/>
        </w:rPr>
        <w:t xml:space="preserve">місцезнаходження – </w:t>
      </w:r>
      <w:smartTag w:uri="urn:schemas-microsoft-com:office:smarttags" w:element="metricconverter">
        <w:smartTagPr>
          <w:attr w:name="ProductID" w:val="04070, м"/>
        </w:smartTagPr>
        <w:r w:rsidRPr="00FF4643">
          <w:rPr>
            <w:lang w:val="uk-UA"/>
          </w:rPr>
          <w:t>04070, м</w:t>
        </w:r>
      </w:smartTag>
      <w:r w:rsidRPr="00FF4643">
        <w:rPr>
          <w:lang w:val="uk-UA"/>
        </w:rPr>
        <w:t>. Київ, вул. Боричів Тік, 3;</w:t>
      </w:r>
    </w:p>
    <w:p w:rsidR="006B5D46" w:rsidRPr="00FF4643" w:rsidRDefault="006B5D46" w:rsidP="00AA1E4A">
      <w:pPr>
        <w:numPr>
          <w:ilvl w:val="0"/>
          <w:numId w:val="3"/>
        </w:numPr>
        <w:ind w:left="426" w:hanging="426"/>
        <w:jc w:val="both"/>
        <w:rPr>
          <w:lang w:val="uk-UA"/>
        </w:rPr>
      </w:pPr>
      <w:r w:rsidRPr="00FF4643">
        <w:rPr>
          <w:lang w:val="uk-UA"/>
        </w:rPr>
        <w:t>дата державної реєстрації – 15.04.2004 р.;</w:t>
      </w:r>
    </w:p>
    <w:p w:rsidR="006B5D46" w:rsidRPr="0028550D" w:rsidRDefault="006B5D46" w:rsidP="004969E4">
      <w:pPr>
        <w:numPr>
          <w:ilvl w:val="0"/>
          <w:numId w:val="3"/>
        </w:numPr>
        <w:ind w:left="426" w:hanging="426"/>
        <w:jc w:val="both"/>
        <w:rPr>
          <w:lang w:val="uk-UA"/>
        </w:rPr>
      </w:pPr>
      <w:r w:rsidRPr="0028550D">
        <w:rPr>
          <w:lang w:val="uk-UA"/>
        </w:rPr>
        <w:t xml:space="preserve">дата внесення останніх змін до Статуту – </w:t>
      </w:r>
      <w:r w:rsidRPr="0028550D">
        <w:rPr>
          <w:sz w:val="23"/>
          <w:szCs w:val="23"/>
          <w:lang w:val="uk-UA"/>
        </w:rPr>
        <w:t xml:space="preserve">01.04.2014 </w:t>
      </w:r>
      <w:r w:rsidRPr="0028550D">
        <w:rPr>
          <w:lang w:val="uk-UA"/>
        </w:rPr>
        <w:t xml:space="preserve">р.; </w:t>
      </w:r>
    </w:p>
    <w:p w:rsidR="006B5D46" w:rsidRPr="00FF4643" w:rsidRDefault="006B5D46" w:rsidP="00AA1E4A">
      <w:pPr>
        <w:numPr>
          <w:ilvl w:val="0"/>
          <w:numId w:val="3"/>
        </w:numPr>
        <w:ind w:left="426" w:hanging="426"/>
        <w:jc w:val="both"/>
        <w:rPr>
          <w:lang w:val="uk-UA"/>
        </w:rPr>
      </w:pPr>
      <w:r w:rsidRPr="00FF4643">
        <w:rPr>
          <w:lang w:val="uk-UA"/>
        </w:rPr>
        <w:t>основний вид діяльності – 65.12 Інші види страхування, крім страхування життя;</w:t>
      </w:r>
    </w:p>
    <w:p w:rsidR="006B5D46" w:rsidRPr="00FF4643" w:rsidRDefault="006B5D46" w:rsidP="00AA1E4A">
      <w:pPr>
        <w:numPr>
          <w:ilvl w:val="0"/>
          <w:numId w:val="3"/>
        </w:numPr>
        <w:ind w:left="426" w:hanging="426"/>
        <w:jc w:val="both"/>
        <w:rPr>
          <w:lang w:val="uk-UA"/>
        </w:rPr>
      </w:pPr>
      <w:r w:rsidRPr="00FF4643">
        <w:rPr>
          <w:lang w:val="uk-UA"/>
        </w:rPr>
        <w:t>реєстраційний номер у реєстрі фінансових установ –  11100820;</w:t>
      </w:r>
    </w:p>
    <w:p w:rsidR="006B5D46" w:rsidRPr="00FF4643" w:rsidRDefault="006B5D46" w:rsidP="00AA1E4A">
      <w:pPr>
        <w:numPr>
          <w:ilvl w:val="0"/>
          <w:numId w:val="3"/>
        </w:numPr>
        <w:spacing w:after="120"/>
        <w:ind w:left="426" w:hanging="426"/>
        <w:jc w:val="both"/>
        <w:rPr>
          <w:lang w:val="uk-UA"/>
        </w:rPr>
      </w:pPr>
      <w:r w:rsidRPr="00FF4643">
        <w:rPr>
          <w:lang w:val="uk-UA"/>
        </w:rPr>
        <w:t>ліцензії Державної комісії з регулювання ринків фінансових послуг України на здійснення діяльності з добровільного страхування:</w:t>
      </w:r>
    </w:p>
    <w:tbl>
      <w:tblPr>
        <w:tblW w:w="9568" w:type="dxa"/>
        <w:tblCellSpacing w:w="7" w:type="dxa"/>
        <w:tblInd w:w="-2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tblPr>
      <w:tblGrid>
        <w:gridCol w:w="437"/>
        <w:gridCol w:w="6296"/>
        <w:gridCol w:w="1701"/>
        <w:gridCol w:w="1134"/>
      </w:tblGrid>
      <w:tr w:rsidR="006B5D46" w:rsidRPr="00FF4643" w:rsidTr="0037566C">
        <w:trPr>
          <w:tblCellSpacing w:w="7" w:type="dxa"/>
        </w:trPr>
        <w:tc>
          <w:tcPr>
            <w:tcW w:w="416" w:type="dxa"/>
            <w:tcBorders>
              <w:top w:val="outset" w:sz="6" w:space="0" w:color="auto"/>
              <w:bottom w:val="outset" w:sz="6" w:space="0" w:color="auto"/>
              <w:right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 п/п</w:t>
            </w:r>
          </w:p>
        </w:tc>
        <w:tc>
          <w:tcPr>
            <w:tcW w:w="6282"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Вид страхування</w:t>
            </w:r>
          </w:p>
        </w:tc>
        <w:tc>
          <w:tcPr>
            <w:tcW w:w="1687"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Ліцензія</w:t>
            </w:r>
          </w:p>
        </w:tc>
        <w:tc>
          <w:tcPr>
            <w:tcW w:w="1113" w:type="dxa"/>
            <w:tcBorders>
              <w:top w:val="outset" w:sz="6" w:space="0" w:color="auto"/>
              <w:left w:val="outset" w:sz="6" w:space="0" w:color="auto"/>
              <w:bottom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Дата видачі</w:t>
            </w:r>
          </w:p>
        </w:tc>
      </w:tr>
      <w:tr w:rsidR="006B5D46" w:rsidRPr="00FF4643" w:rsidTr="0037566C">
        <w:trPr>
          <w:tblCellSpacing w:w="7" w:type="dxa"/>
        </w:trPr>
        <w:tc>
          <w:tcPr>
            <w:tcW w:w="9540" w:type="dxa"/>
            <w:gridSpan w:val="4"/>
            <w:tcBorders>
              <w:top w:val="outset" w:sz="6" w:space="0" w:color="auto"/>
              <w:bottom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У формі добровільного страхування</w:t>
            </w:r>
          </w:p>
        </w:tc>
      </w:tr>
      <w:tr w:rsidR="006B5D46" w:rsidRPr="00FF4643" w:rsidTr="0037566C">
        <w:trPr>
          <w:tblCellSpacing w:w="7" w:type="dxa"/>
        </w:trPr>
        <w:tc>
          <w:tcPr>
            <w:tcW w:w="416" w:type="dxa"/>
            <w:tcBorders>
              <w:top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1</w:t>
            </w:r>
          </w:p>
        </w:tc>
        <w:tc>
          <w:tcPr>
            <w:tcW w:w="6282"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Страхування вантажів та багажу (вантажобагажу)</w:t>
            </w:r>
          </w:p>
        </w:tc>
        <w:tc>
          <w:tcPr>
            <w:tcW w:w="1687"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АВ, №547048</w:t>
            </w:r>
          </w:p>
        </w:tc>
        <w:tc>
          <w:tcPr>
            <w:tcW w:w="1113" w:type="dxa"/>
            <w:tcBorders>
              <w:top w:val="outset" w:sz="6" w:space="0" w:color="auto"/>
              <w:left w:val="outset" w:sz="6" w:space="0" w:color="auto"/>
              <w:bottom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05.11.2010</w:t>
            </w:r>
          </w:p>
        </w:tc>
      </w:tr>
      <w:tr w:rsidR="006B5D46" w:rsidRPr="00FF4643" w:rsidTr="0037566C">
        <w:trPr>
          <w:tblCellSpacing w:w="7" w:type="dxa"/>
        </w:trPr>
        <w:tc>
          <w:tcPr>
            <w:tcW w:w="416" w:type="dxa"/>
            <w:tcBorders>
              <w:top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2</w:t>
            </w:r>
          </w:p>
        </w:tc>
        <w:tc>
          <w:tcPr>
            <w:tcW w:w="6282"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Страхування від вогневих ризиків та ризиків стихійних явищ</w:t>
            </w:r>
          </w:p>
        </w:tc>
        <w:tc>
          <w:tcPr>
            <w:tcW w:w="1687"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АВ, №547049</w:t>
            </w:r>
          </w:p>
        </w:tc>
        <w:tc>
          <w:tcPr>
            <w:tcW w:w="1113" w:type="dxa"/>
            <w:tcBorders>
              <w:top w:val="outset" w:sz="6" w:space="0" w:color="auto"/>
              <w:left w:val="outset" w:sz="6" w:space="0" w:color="auto"/>
              <w:bottom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05.11.2010</w:t>
            </w:r>
          </w:p>
        </w:tc>
      </w:tr>
      <w:tr w:rsidR="006B5D46" w:rsidRPr="00FF4643" w:rsidTr="0037566C">
        <w:trPr>
          <w:tblCellSpacing w:w="7" w:type="dxa"/>
        </w:trPr>
        <w:tc>
          <w:tcPr>
            <w:tcW w:w="416" w:type="dxa"/>
            <w:tcBorders>
              <w:top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3</w:t>
            </w:r>
          </w:p>
        </w:tc>
        <w:tc>
          <w:tcPr>
            <w:tcW w:w="6282"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Страхування кредитів (у тому числі відповідальності позичальника за непогашення кредиту).</w:t>
            </w:r>
          </w:p>
        </w:tc>
        <w:tc>
          <w:tcPr>
            <w:tcW w:w="1687"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АВ, №547050</w:t>
            </w:r>
          </w:p>
        </w:tc>
        <w:tc>
          <w:tcPr>
            <w:tcW w:w="1113" w:type="dxa"/>
            <w:tcBorders>
              <w:top w:val="outset" w:sz="6" w:space="0" w:color="auto"/>
              <w:left w:val="outset" w:sz="6" w:space="0" w:color="auto"/>
              <w:bottom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05.11.2010</w:t>
            </w:r>
          </w:p>
        </w:tc>
      </w:tr>
      <w:tr w:rsidR="006B5D46" w:rsidRPr="00FF4643" w:rsidTr="0037566C">
        <w:trPr>
          <w:tblCellSpacing w:w="7" w:type="dxa"/>
        </w:trPr>
        <w:tc>
          <w:tcPr>
            <w:tcW w:w="416" w:type="dxa"/>
            <w:tcBorders>
              <w:top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4</w:t>
            </w:r>
          </w:p>
        </w:tc>
        <w:tc>
          <w:tcPr>
            <w:tcW w:w="6282"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Страхування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w:t>
            </w:r>
          </w:p>
        </w:tc>
        <w:tc>
          <w:tcPr>
            <w:tcW w:w="1687"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АВ, №547051</w:t>
            </w:r>
          </w:p>
        </w:tc>
        <w:tc>
          <w:tcPr>
            <w:tcW w:w="1113" w:type="dxa"/>
            <w:tcBorders>
              <w:top w:val="outset" w:sz="6" w:space="0" w:color="auto"/>
              <w:left w:val="outset" w:sz="6" w:space="0" w:color="auto"/>
              <w:bottom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05.11.2010</w:t>
            </w:r>
          </w:p>
        </w:tc>
      </w:tr>
      <w:tr w:rsidR="006B5D46" w:rsidRPr="00FF4643" w:rsidTr="0037566C">
        <w:trPr>
          <w:tblCellSpacing w:w="7" w:type="dxa"/>
        </w:trPr>
        <w:tc>
          <w:tcPr>
            <w:tcW w:w="416" w:type="dxa"/>
            <w:tcBorders>
              <w:top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5</w:t>
            </w:r>
          </w:p>
        </w:tc>
        <w:tc>
          <w:tcPr>
            <w:tcW w:w="6282"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Страхування наземного транспорту (крім залізничного)</w:t>
            </w:r>
          </w:p>
        </w:tc>
        <w:tc>
          <w:tcPr>
            <w:tcW w:w="1687"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АВ, №547052</w:t>
            </w:r>
          </w:p>
        </w:tc>
        <w:tc>
          <w:tcPr>
            <w:tcW w:w="1113" w:type="dxa"/>
            <w:tcBorders>
              <w:top w:val="outset" w:sz="6" w:space="0" w:color="auto"/>
              <w:left w:val="outset" w:sz="6" w:space="0" w:color="auto"/>
              <w:bottom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05.11.2010</w:t>
            </w:r>
          </w:p>
        </w:tc>
      </w:tr>
      <w:tr w:rsidR="006B5D46" w:rsidRPr="00FF4643" w:rsidTr="0037566C">
        <w:trPr>
          <w:tblCellSpacing w:w="7" w:type="dxa"/>
        </w:trPr>
        <w:tc>
          <w:tcPr>
            <w:tcW w:w="416" w:type="dxa"/>
            <w:tcBorders>
              <w:top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6</w:t>
            </w:r>
          </w:p>
        </w:tc>
        <w:tc>
          <w:tcPr>
            <w:tcW w:w="6282"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Страхування від нещасних випадків</w:t>
            </w:r>
          </w:p>
        </w:tc>
        <w:tc>
          <w:tcPr>
            <w:tcW w:w="1687"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АВ, №547053</w:t>
            </w:r>
          </w:p>
        </w:tc>
        <w:tc>
          <w:tcPr>
            <w:tcW w:w="1113" w:type="dxa"/>
            <w:tcBorders>
              <w:top w:val="outset" w:sz="6" w:space="0" w:color="auto"/>
              <w:left w:val="outset" w:sz="6" w:space="0" w:color="auto"/>
              <w:bottom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05.11.2010</w:t>
            </w:r>
          </w:p>
        </w:tc>
      </w:tr>
      <w:tr w:rsidR="006B5D46" w:rsidRPr="00FF4643" w:rsidTr="0037566C">
        <w:trPr>
          <w:tblCellSpacing w:w="7" w:type="dxa"/>
        </w:trPr>
        <w:tc>
          <w:tcPr>
            <w:tcW w:w="416" w:type="dxa"/>
            <w:tcBorders>
              <w:top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7</w:t>
            </w:r>
          </w:p>
        </w:tc>
        <w:tc>
          <w:tcPr>
            <w:tcW w:w="6282"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 xml:space="preserve">Страхування відповідальності перед третіми особами [крім </w:t>
            </w:r>
            <w:r w:rsidRPr="00FF4643">
              <w:rPr>
                <w:color w:val="3C2A28"/>
                <w:sz w:val="23"/>
                <w:szCs w:val="23"/>
                <w:lang w:val="uk-UA"/>
              </w:rPr>
              <w:lastRenderedPageBreak/>
              <w:t>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w:t>
            </w:r>
          </w:p>
        </w:tc>
        <w:tc>
          <w:tcPr>
            <w:tcW w:w="1687"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lastRenderedPageBreak/>
              <w:t>АВ, №547054</w:t>
            </w:r>
          </w:p>
        </w:tc>
        <w:tc>
          <w:tcPr>
            <w:tcW w:w="1113" w:type="dxa"/>
            <w:tcBorders>
              <w:top w:val="outset" w:sz="6" w:space="0" w:color="auto"/>
              <w:left w:val="outset" w:sz="6" w:space="0" w:color="auto"/>
              <w:bottom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05.11.2010</w:t>
            </w:r>
          </w:p>
        </w:tc>
      </w:tr>
      <w:tr w:rsidR="006B5D46" w:rsidRPr="00FF4643" w:rsidTr="0037566C">
        <w:trPr>
          <w:tblCellSpacing w:w="7" w:type="dxa"/>
        </w:trPr>
        <w:tc>
          <w:tcPr>
            <w:tcW w:w="416" w:type="dxa"/>
            <w:tcBorders>
              <w:top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lastRenderedPageBreak/>
              <w:t>8</w:t>
            </w:r>
          </w:p>
        </w:tc>
        <w:tc>
          <w:tcPr>
            <w:tcW w:w="6282"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rPr>
                <w:color w:val="3C2A28"/>
                <w:sz w:val="23"/>
                <w:szCs w:val="23"/>
                <w:lang w:val="uk-UA"/>
              </w:rPr>
            </w:pPr>
            <w:r w:rsidRPr="00FF4643">
              <w:rPr>
                <w:color w:val="3C2A28"/>
                <w:sz w:val="23"/>
                <w:szCs w:val="23"/>
                <w:lang w:val="uk-UA"/>
              </w:rPr>
              <w:t>Страхування фінансових ризиків</w:t>
            </w:r>
          </w:p>
        </w:tc>
        <w:tc>
          <w:tcPr>
            <w:tcW w:w="1687" w:type="dxa"/>
            <w:tcBorders>
              <w:top w:val="outset" w:sz="6" w:space="0" w:color="auto"/>
              <w:left w:val="outset" w:sz="6" w:space="0" w:color="auto"/>
              <w:bottom w:val="outset" w:sz="6" w:space="0" w:color="auto"/>
              <w:right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АВ, №547055</w:t>
            </w:r>
          </w:p>
        </w:tc>
        <w:tc>
          <w:tcPr>
            <w:tcW w:w="1113" w:type="dxa"/>
            <w:tcBorders>
              <w:top w:val="outset" w:sz="6" w:space="0" w:color="auto"/>
              <w:left w:val="outset" w:sz="6" w:space="0" w:color="auto"/>
              <w:bottom w:val="outset" w:sz="6" w:space="0" w:color="auto"/>
            </w:tcBorders>
            <w:vAlign w:val="center"/>
          </w:tcPr>
          <w:p w:rsidR="006B5D46" w:rsidRPr="00FF4643" w:rsidRDefault="006B5D46" w:rsidP="0037566C">
            <w:pPr>
              <w:jc w:val="center"/>
              <w:rPr>
                <w:color w:val="3C2A28"/>
                <w:sz w:val="23"/>
                <w:szCs w:val="23"/>
                <w:lang w:val="uk-UA"/>
              </w:rPr>
            </w:pPr>
            <w:r w:rsidRPr="00FF4643">
              <w:rPr>
                <w:color w:val="3C2A28"/>
                <w:sz w:val="23"/>
                <w:szCs w:val="23"/>
                <w:lang w:val="uk-UA"/>
              </w:rPr>
              <w:t>05.11.2010</w:t>
            </w:r>
          </w:p>
        </w:tc>
      </w:tr>
    </w:tbl>
    <w:p w:rsidR="006B5D46" w:rsidRPr="00FF4643" w:rsidRDefault="006B5D46" w:rsidP="00AA1E4A">
      <w:pPr>
        <w:numPr>
          <w:ilvl w:val="0"/>
          <w:numId w:val="3"/>
        </w:numPr>
        <w:spacing w:before="120"/>
        <w:ind w:left="426" w:hanging="426"/>
        <w:jc w:val="both"/>
        <w:rPr>
          <w:lang w:val="uk-UA"/>
        </w:rPr>
      </w:pPr>
      <w:r w:rsidRPr="00FF4643">
        <w:rPr>
          <w:lang w:val="uk-UA"/>
        </w:rPr>
        <w:t>голова правління – В.В.Кривошапка; головний бухгалтер – С.А.Притика; кількість працівників – 20.</w:t>
      </w:r>
    </w:p>
    <w:p w:rsidR="0028550D" w:rsidRPr="0028550D" w:rsidRDefault="006B5D46" w:rsidP="0028550D">
      <w:pPr>
        <w:numPr>
          <w:ilvl w:val="0"/>
          <w:numId w:val="3"/>
        </w:numPr>
        <w:spacing w:after="120"/>
        <w:ind w:left="426" w:hanging="426"/>
        <w:jc w:val="both"/>
        <w:rPr>
          <w:lang w:val="uk-UA"/>
        </w:rPr>
      </w:pPr>
      <w:r w:rsidRPr="0028550D">
        <w:rPr>
          <w:lang w:val="uk-UA"/>
        </w:rPr>
        <w:t xml:space="preserve">перелік акціонерів на дату складання аудиторського висновку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
        <w:gridCol w:w="2800"/>
        <w:gridCol w:w="1299"/>
        <w:gridCol w:w="3621"/>
        <w:gridCol w:w="1144"/>
      </w:tblGrid>
      <w:tr w:rsidR="0028550D" w:rsidRPr="0028550D" w:rsidTr="0028550D">
        <w:tc>
          <w:tcPr>
            <w:tcW w:w="368" w:type="dxa"/>
            <w:vAlign w:val="center"/>
          </w:tcPr>
          <w:p w:rsidR="0028550D" w:rsidRPr="0028550D" w:rsidRDefault="0028550D" w:rsidP="0028550D">
            <w:pPr>
              <w:jc w:val="right"/>
              <w:rPr>
                <w:sz w:val="16"/>
                <w:szCs w:val="16"/>
                <w:lang w:val="uk-UA"/>
              </w:rPr>
            </w:pPr>
          </w:p>
        </w:tc>
        <w:tc>
          <w:tcPr>
            <w:tcW w:w="2800" w:type="dxa"/>
            <w:vAlign w:val="center"/>
          </w:tcPr>
          <w:p w:rsidR="0028550D" w:rsidRPr="0028550D" w:rsidRDefault="0028550D" w:rsidP="0028550D">
            <w:pPr>
              <w:pStyle w:val="ab"/>
              <w:jc w:val="center"/>
              <w:rPr>
                <w:sz w:val="16"/>
                <w:szCs w:val="16"/>
                <w:lang w:val="uk-UA"/>
              </w:rPr>
            </w:pPr>
            <w:r w:rsidRPr="0028550D">
              <w:rPr>
                <w:sz w:val="16"/>
                <w:szCs w:val="16"/>
                <w:lang w:val="uk-UA"/>
              </w:rPr>
              <w:t>Найменування юридичної/фізичної особи засновника</w:t>
            </w:r>
          </w:p>
        </w:tc>
        <w:tc>
          <w:tcPr>
            <w:tcW w:w="1299" w:type="dxa"/>
            <w:vAlign w:val="center"/>
          </w:tcPr>
          <w:p w:rsidR="0028550D" w:rsidRPr="0028550D" w:rsidRDefault="0028550D" w:rsidP="0028550D">
            <w:pPr>
              <w:pStyle w:val="ab"/>
              <w:jc w:val="center"/>
              <w:rPr>
                <w:sz w:val="16"/>
                <w:szCs w:val="16"/>
                <w:lang w:val="uk-UA"/>
              </w:rPr>
            </w:pPr>
            <w:r w:rsidRPr="0028550D">
              <w:rPr>
                <w:sz w:val="16"/>
                <w:szCs w:val="16"/>
                <w:lang w:val="uk-UA"/>
              </w:rPr>
              <w:t>Код за ЄДРПОУ засновника</w:t>
            </w:r>
          </w:p>
        </w:tc>
        <w:tc>
          <w:tcPr>
            <w:tcW w:w="3621" w:type="dxa"/>
            <w:vAlign w:val="center"/>
          </w:tcPr>
          <w:p w:rsidR="0028550D" w:rsidRPr="0028550D" w:rsidRDefault="0028550D" w:rsidP="0028550D">
            <w:pPr>
              <w:pStyle w:val="ab"/>
              <w:jc w:val="center"/>
              <w:rPr>
                <w:sz w:val="16"/>
                <w:szCs w:val="16"/>
                <w:lang w:val="uk-UA"/>
              </w:rPr>
            </w:pPr>
            <w:r w:rsidRPr="0028550D">
              <w:rPr>
                <w:sz w:val="16"/>
                <w:szCs w:val="16"/>
                <w:lang w:val="uk-UA"/>
              </w:rPr>
              <w:t>Місцезнаходження</w:t>
            </w:r>
          </w:p>
        </w:tc>
        <w:tc>
          <w:tcPr>
            <w:tcW w:w="1144" w:type="dxa"/>
            <w:vAlign w:val="center"/>
          </w:tcPr>
          <w:p w:rsidR="0028550D" w:rsidRPr="0028550D" w:rsidRDefault="0028550D" w:rsidP="0028550D">
            <w:pPr>
              <w:jc w:val="center"/>
              <w:rPr>
                <w:sz w:val="16"/>
                <w:szCs w:val="16"/>
                <w:lang w:val="uk-UA"/>
              </w:rPr>
            </w:pPr>
            <w:r w:rsidRPr="0028550D">
              <w:rPr>
                <w:sz w:val="16"/>
                <w:szCs w:val="16"/>
                <w:lang w:val="uk-UA"/>
              </w:rPr>
              <w:t>Кількість цінних паперів, шт.</w:t>
            </w:r>
          </w:p>
        </w:tc>
      </w:tr>
      <w:tr w:rsidR="0028550D" w:rsidRPr="0028550D" w:rsidTr="0028550D">
        <w:tc>
          <w:tcPr>
            <w:tcW w:w="368" w:type="dxa"/>
            <w:vAlign w:val="center"/>
          </w:tcPr>
          <w:p w:rsidR="0028550D" w:rsidRPr="0028550D" w:rsidRDefault="0028550D" w:rsidP="0028550D">
            <w:pPr>
              <w:jc w:val="right"/>
              <w:rPr>
                <w:sz w:val="20"/>
                <w:szCs w:val="20"/>
                <w:lang w:val="uk-UA"/>
              </w:rPr>
            </w:pPr>
            <w:r w:rsidRPr="0028550D">
              <w:rPr>
                <w:sz w:val="20"/>
                <w:szCs w:val="20"/>
                <w:lang w:val="uk-UA"/>
              </w:rPr>
              <w:t>1</w:t>
            </w:r>
          </w:p>
        </w:tc>
        <w:tc>
          <w:tcPr>
            <w:tcW w:w="2800" w:type="dxa"/>
          </w:tcPr>
          <w:p w:rsidR="0028550D" w:rsidRPr="0028550D" w:rsidRDefault="0028550D" w:rsidP="0028550D">
            <w:pPr>
              <w:pStyle w:val="a8"/>
              <w:tabs>
                <w:tab w:val="left" w:pos="6379"/>
              </w:tabs>
            </w:pPr>
            <w:r w:rsidRPr="0028550D">
              <w:rPr>
                <w:caps/>
                <w:color w:val="333333"/>
                <w:lang w:val="en-US"/>
              </w:rPr>
              <w:t>GULFVIEW</w:t>
            </w:r>
            <w:r w:rsidRPr="0028550D">
              <w:rPr>
                <w:caps/>
                <w:color w:val="333333"/>
              </w:rPr>
              <w:t xml:space="preserve"> </w:t>
            </w:r>
            <w:r w:rsidRPr="0028550D">
              <w:rPr>
                <w:caps/>
                <w:color w:val="333333"/>
                <w:lang w:val="en-US"/>
              </w:rPr>
              <w:t>TRADING</w:t>
            </w:r>
            <w:r w:rsidRPr="0028550D">
              <w:rPr>
                <w:caps/>
                <w:color w:val="333333"/>
              </w:rPr>
              <w:t xml:space="preserve"> </w:t>
            </w:r>
            <w:r w:rsidRPr="0028550D">
              <w:rPr>
                <w:caps/>
                <w:color w:val="333333"/>
                <w:lang w:val="en-US"/>
              </w:rPr>
              <w:t>LIMITED</w:t>
            </w:r>
          </w:p>
        </w:tc>
        <w:tc>
          <w:tcPr>
            <w:tcW w:w="1299" w:type="dxa"/>
            <w:vAlign w:val="center"/>
          </w:tcPr>
          <w:p w:rsidR="0028550D" w:rsidRPr="0028550D" w:rsidRDefault="0028550D" w:rsidP="0028550D">
            <w:pPr>
              <w:pStyle w:val="a8"/>
              <w:tabs>
                <w:tab w:val="left" w:pos="6379"/>
              </w:tabs>
              <w:jc w:val="center"/>
            </w:pPr>
            <w:r w:rsidRPr="0028550D">
              <w:t>НЕ 316221</w:t>
            </w:r>
          </w:p>
        </w:tc>
        <w:tc>
          <w:tcPr>
            <w:tcW w:w="3621" w:type="dxa"/>
            <w:vAlign w:val="center"/>
          </w:tcPr>
          <w:p w:rsidR="0028550D" w:rsidRPr="0028550D" w:rsidRDefault="0028550D" w:rsidP="00660048">
            <w:pPr>
              <w:rPr>
                <w:sz w:val="20"/>
                <w:szCs w:val="20"/>
                <w:highlight w:val="cyan"/>
              </w:rPr>
            </w:pPr>
            <w:r w:rsidRPr="0028550D">
              <w:rPr>
                <w:sz w:val="20"/>
                <w:szCs w:val="20"/>
                <w:lang w:val="uk-UA"/>
              </w:rPr>
              <w:t>Скуфа, 21А Македонітісса, поштовий індекс 2415, Нікосія, Кіпр</w:t>
            </w:r>
          </w:p>
        </w:tc>
        <w:tc>
          <w:tcPr>
            <w:tcW w:w="1144" w:type="dxa"/>
            <w:vAlign w:val="center"/>
          </w:tcPr>
          <w:p w:rsidR="0028550D" w:rsidRPr="0028550D" w:rsidRDefault="0028550D" w:rsidP="0028550D">
            <w:pPr>
              <w:jc w:val="center"/>
              <w:rPr>
                <w:sz w:val="20"/>
                <w:szCs w:val="20"/>
                <w:lang w:val="uk-UA"/>
              </w:rPr>
            </w:pPr>
            <w:r w:rsidRPr="0028550D">
              <w:rPr>
                <w:sz w:val="20"/>
                <w:szCs w:val="20"/>
              </w:rPr>
              <w:t>32583</w:t>
            </w:r>
          </w:p>
        </w:tc>
      </w:tr>
      <w:tr w:rsidR="0028550D" w:rsidRPr="0028550D" w:rsidTr="0028550D">
        <w:tc>
          <w:tcPr>
            <w:tcW w:w="368" w:type="dxa"/>
            <w:vAlign w:val="center"/>
          </w:tcPr>
          <w:p w:rsidR="0028550D" w:rsidRPr="0028550D" w:rsidRDefault="0028550D" w:rsidP="0028550D">
            <w:pPr>
              <w:jc w:val="right"/>
              <w:rPr>
                <w:sz w:val="20"/>
                <w:szCs w:val="20"/>
                <w:lang w:val="uk-UA"/>
              </w:rPr>
            </w:pPr>
            <w:r w:rsidRPr="0028550D">
              <w:rPr>
                <w:sz w:val="20"/>
                <w:szCs w:val="20"/>
                <w:lang w:val="uk-UA"/>
              </w:rPr>
              <w:t>2</w:t>
            </w:r>
          </w:p>
        </w:tc>
        <w:tc>
          <w:tcPr>
            <w:tcW w:w="2800" w:type="dxa"/>
          </w:tcPr>
          <w:p w:rsidR="0028550D" w:rsidRPr="0028550D" w:rsidRDefault="0028550D" w:rsidP="0028550D">
            <w:pPr>
              <w:tabs>
                <w:tab w:val="left" w:pos="6379"/>
              </w:tabs>
              <w:rPr>
                <w:sz w:val="20"/>
                <w:szCs w:val="20"/>
                <w:lang w:val="uk-UA"/>
              </w:rPr>
            </w:pPr>
            <w:r w:rsidRPr="0028550D">
              <w:rPr>
                <w:caps/>
                <w:color w:val="333333"/>
                <w:sz w:val="20"/>
                <w:szCs w:val="20"/>
                <w:lang w:val="en-US"/>
              </w:rPr>
              <w:t>hillfront</w:t>
            </w:r>
            <w:r w:rsidRPr="0028550D">
              <w:rPr>
                <w:caps/>
                <w:color w:val="333333"/>
                <w:sz w:val="20"/>
                <w:szCs w:val="20"/>
                <w:lang w:val="uk-UA"/>
              </w:rPr>
              <w:t xml:space="preserve"> </w:t>
            </w:r>
            <w:r w:rsidRPr="0028550D">
              <w:rPr>
                <w:caps/>
                <w:color w:val="333333"/>
                <w:sz w:val="20"/>
                <w:szCs w:val="20"/>
                <w:lang w:val="en-US"/>
              </w:rPr>
              <w:t>holdings</w:t>
            </w:r>
            <w:r w:rsidRPr="0028550D">
              <w:rPr>
                <w:caps/>
                <w:color w:val="333333"/>
                <w:sz w:val="20"/>
                <w:szCs w:val="20"/>
                <w:lang w:val="uk-UA"/>
              </w:rPr>
              <w:t xml:space="preserve"> </w:t>
            </w:r>
            <w:r w:rsidRPr="0028550D">
              <w:rPr>
                <w:caps/>
                <w:color w:val="333333"/>
                <w:sz w:val="20"/>
                <w:szCs w:val="20"/>
                <w:lang w:val="en-US"/>
              </w:rPr>
              <w:t>limited</w:t>
            </w:r>
          </w:p>
        </w:tc>
        <w:tc>
          <w:tcPr>
            <w:tcW w:w="1299" w:type="dxa"/>
            <w:vAlign w:val="center"/>
          </w:tcPr>
          <w:p w:rsidR="0028550D" w:rsidRPr="0028550D" w:rsidRDefault="0028550D" w:rsidP="0028550D">
            <w:pPr>
              <w:tabs>
                <w:tab w:val="left" w:pos="6379"/>
              </w:tabs>
              <w:jc w:val="center"/>
              <w:rPr>
                <w:sz w:val="20"/>
                <w:szCs w:val="20"/>
                <w:lang w:val="uk-UA"/>
              </w:rPr>
            </w:pPr>
            <w:r w:rsidRPr="0028550D">
              <w:rPr>
                <w:sz w:val="20"/>
                <w:szCs w:val="20"/>
                <w:lang w:val="uk-UA"/>
              </w:rPr>
              <w:t>НЕ 316224</w:t>
            </w:r>
          </w:p>
        </w:tc>
        <w:tc>
          <w:tcPr>
            <w:tcW w:w="3621" w:type="dxa"/>
            <w:vAlign w:val="center"/>
          </w:tcPr>
          <w:p w:rsidR="0028550D" w:rsidRPr="0028550D" w:rsidRDefault="0028550D" w:rsidP="00660048">
            <w:pPr>
              <w:rPr>
                <w:sz w:val="20"/>
                <w:szCs w:val="20"/>
                <w:highlight w:val="cyan"/>
                <w:lang w:val="uk-UA"/>
              </w:rPr>
            </w:pPr>
            <w:r w:rsidRPr="0028550D">
              <w:rPr>
                <w:sz w:val="20"/>
                <w:szCs w:val="20"/>
                <w:lang w:val="uk-UA"/>
              </w:rPr>
              <w:t>Мелінас Меркурі, 46 Егкомі, поштовий індекс 2411, Нікосія, Кіпр</w:t>
            </w:r>
          </w:p>
        </w:tc>
        <w:tc>
          <w:tcPr>
            <w:tcW w:w="1144" w:type="dxa"/>
            <w:vAlign w:val="center"/>
          </w:tcPr>
          <w:p w:rsidR="0028550D" w:rsidRPr="0028550D" w:rsidRDefault="0028550D" w:rsidP="0028550D">
            <w:pPr>
              <w:jc w:val="center"/>
              <w:rPr>
                <w:sz w:val="20"/>
                <w:szCs w:val="20"/>
                <w:lang w:val="uk-UA"/>
              </w:rPr>
            </w:pPr>
            <w:r w:rsidRPr="0028550D">
              <w:rPr>
                <w:sz w:val="20"/>
                <w:szCs w:val="20"/>
              </w:rPr>
              <w:t>32583</w:t>
            </w:r>
          </w:p>
        </w:tc>
      </w:tr>
      <w:tr w:rsidR="0028550D" w:rsidRPr="0028550D" w:rsidTr="0028550D">
        <w:tc>
          <w:tcPr>
            <w:tcW w:w="368" w:type="dxa"/>
            <w:vAlign w:val="center"/>
          </w:tcPr>
          <w:p w:rsidR="0028550D" w:rsidRPr="0028550D" w:rsidRDefault="0028550D" w:rsidP="0028550D">
            <w:pPr>
              <w:jc w:val="right"/>
              <w:rPr>
                <w:sz w:val="20"/>
                <w:szCs w:val="20"/>
                <w:lang w:val="uk-UA"/>
              </w:rPr>
            </w:pPr>
            <w:r w:rsidRPr="0028550D">
              <w:rPr>
                <w:sz w:val="20"/>
                <w:szCs w:val="20"/>
                <w:lang w:val="uk-UA"/>
              </w:rPr>
              <w:t>3</w:t>
            </w:r>
          </w:p>
        </w:tc>
        <w:tc>
          <w:tcPr>
            <w:tcW w:w="2800" w:type="dxa"/>
          </w:tcPr>
          <w:p w:rsidR="0028550D" w:rsidRPr="0028550D" w:rsidRDefault="0028550D" w:rsidP="0028550D">
            <w:pPr>
              <w:pStyle w:val="a8"/>
              <w:tabs>
                <w:tab w:val="left" w:pos="6379"/>
              </w:tabs>
            </w:pPr>
            <w:r w:rsidRPr="0028550D">
              <w:rPr>
                <w:caps/>
                <w:color w:val="333333"/>
                <w:lang w:val="en-US"/>
              </w:rPr>
              <w:t>METALROCK</w:t>
            </w:r>
            <w:r w:rsidRPr="0028550D">
              <w:rPr>
                <w:caps/>
                <w:color w:val="333333"/>
              </w:rPr>
              <w:t xml:space="preserve"> </w:t>
            </w:r>
            <w:r w:rsidRPr="0028550D">
              <w:rPr>
                <w:caps/>
                <w:color w:val="333333"/>
                <w:lang w:val="en-US"/>
              </w:rPr>
              <w:t>HOLDINGS</w:t>
            </w:r>
            <w:r w:rsidRPr="0028550D">
              <w:rPr>
                <w:caps/>
                <w:color w:val="333333"/>
              </w:rPr>
              <w:t xml:space="preserve"> </w:t>
            </w:r>
            <w:r w:rsidRPr="0028550D">
              <w:rPr>
                <w:caps/>
                <w:color w:val="333333"/>
                <w:lang w:val="en-US"/>
              </w:rPr>
              <w:t>LIMITED</w:t>
            </w:r>
          </w:p>
        </w:tc>
        <w:tc>
          <w:tcPr>
            <w:tcW w:w="1299" w:type="dxa"/>
            <w:vAlign w:val="center"/>
          </w:tcPr>
          <w:p w:rsidR="0028550D" w:rsidRPr="0028550D" w:rsidRDefault="0028550D" w:rsidP="0028550D">
            <w:pPr>
              <w:pStyle w:val="a8"/>
              <w:tabs>
                <w:tab w:val="left" w:pos="6379"/>
              </w:tabs>
              <w:jc w:val="center"/>
            </w:pPr>
            <w:r w:rsidRPr="0028550D">
              <w:t>НЕ 316222</w:t>
            </w:r>
          </w:p>
        </w:tc>
        <w:tc>
          <w:tcPr>
            <w:tcW w:w="3621" w:type="dxa"/>
            <w:vAlign w:val="center"/>
          </w:tcPr>
          <w:p w:rsidR="0028550D" w:rsidRPr="0028550D" w:rsidRDefault="0028550D" w:rsidP="00660048">
            <w:pPr>
              <w:rPr>
                <w:sz w:val="20"/>
                <w:szCs w:val="20"/>
                <w:highlight w:val="cyan"/>
              </w:rPr>
            </w:pPr>
            <w:r w:rsidRPr="0028550D">
              <w:rPr>
                <w:sz w:val="20"/>
                <w:szCs w:val="20"/>
                <w:lang w:val="uk-UA"/>
              </w:rPr>
              <w:t>Кавалас, 10 Потамос Гермасойя, Лімассол, Кіпр</w:t>
            </w:r>
          </w:p>
        </w:tc>
        <w:tc>
          <w:tcPr>
            <w:tcW w:w="1144" w:type="dxa"/>
            <w:vAlign w:val="center"/>
          </w:tcPr>
          <w:p w:rsidR="0028550D" w:rsidRPr="0028550D" w:rsidRDefault="0028550D" w:rsidP="0028550D">
            <w:pPr>
              <w:jc w:val="center"/>
              <w:rPr>
                <w:sz w:val="20"/>
                <w:szCs w:val="20"/>
                <w:lang w:val="uk-UA"/>
              </w:rPr>
            </w:pPr>
            <w:r w:rsidRPr="0028550D">
              <w:rPr>
                <w:sz w:val="20"/>
                <w:szCs w:val="20"/>
              </w:rPr>
              <w:t>32583</w:t>
            </w:r>
          </w:p>
        </w:tc>
      </w:tr>
      <w:tr w:rsidR="0028550D" w:rsidRPr="0028550D" w:rsidTr="0028550D">
        <w:tc>
          <w:tcPr>
            <w:tcW w:w="368" w:type="dxa"/>
            <w:vAlign w:val="center"/>
          </w:tcPr>
          <w:p w:rsidR="0028550D" w:rsidRPr="0028550D" w:rsidRDefault="0028550D" w:rsidP="0028550D">
            <w:pPr>
              <w:jc w:val="right"/>
              <w:rPr>
                <w:sz w:val="20"/>
                <w:szCs w:val="20"/>
                <w:lang w:val="uk-UA"/>
              </w:rPr>
            </w:pPr>
            <w:r w:rsidRPr="0028550D">
              <w:rPr>
                <w:sz w:val="20"/>
                <w:szCs w:val="20"/>
                <w:lang w:val="uk-UA"/>
              </w:rPr>
              <w:t>4</w:t>
            </w:r>
          </w:p>
        </w:tc>
        <w:tc>
          <w:tcPr>
            <w:tcW w:w="2800" w:type="dxa"/>
          </w:tcPr>
          <w:p w:rsidR="0028550D" w:rsidRPr="0028550D" w:rsidRDefault="0028550D" w:rsidP="0028550D">
            <w:pPr>
              <w:pStyle w:val="a8"/>
              <w:tabs>
                <w:tab w:val="left" w:pos="6379"/>
              </w:tabs>
            </w:pPr>
            <w:r w:rsidRPr="0028550D">
              <w:rPr>
                <w:caps/>
                <w:color w:val="333333"/>
                <w:lang w:val="en-US"/>
              </w:rPr>
              <w:t>SANDREANO</w:t>
            </w:r>
            <w:r w:rsidRPr="0028550D">
              <w:rPr>
                <w:caps/>
                <w:color w:val="333333"/>
              </w:rPr>
              <w:t xml:space="preserve"> </w:t>
            </w:r>
            <w:r w:rsidRPr="0028550D">
              <w:rPr>
                <w:caps/>
                <w:color w:val="333333"/>
                <w:lang w:val="en-US"/>
              </w:rPr>
              <w:t>TRADING</w:t>
            </w:r>
            <w:r w:rsidRPr="0028550D">
              <w:rPr>
                <w:caps/>
                <w:color w:val="333333"/>
              </w:rPr>
              <w:t xml:space="preserve"> </w:t>
            </w:r>
            <w:r w:rsidRPr="0028550D">
              <w:rPr>
                <w:caps/>
                <w:color w:val="333333"/>
                <w:lang w:val="en-US"/>
              </w:rPr>
              <w:t>LIMITED</w:t>
            </w:r>
          </w:p>
        </w:tc>
        <w:tc>
          <w:tcPr>
            <w:tcW w:w="1299" w:type="dxa"/>
            <w:vAlign w:val="center"/>
          </w:tcPr>
          <w:p w:rsidR="0028550D" w:rsidRPr="0028550D" w:rsidRDefault="0028550D" w:rsidP="0028550D">
            <w:pPr>
              <w:pStyle w:val="a8"/>
              <w:tabs>
                <w:tab w:val="left" w:pos="6379"/>
              </w:tabs>
              <w:jc w:val="center"/>
            </w:pPr>
            <w:r w:rsidRPr="0028550D">
              <w:t>НЕ 316220</w:t>
            </w:r>
          </w:p>
        </w:tc>
        <w:tc>
          <w:tcPr>
            <w:tcW w:w="3621" w:type="dxa"/>
            <w:vAlign w:val="center"/>
          </w:tcPr>
          <w:p w:rsidR="0028550D" w:rsidRPr="0028550D" w:rsidRDefault="0028550D" w:rsidP="00660048">
            <w:pPr>
              <w:rPr>
                <w:sz w:val="20"/>
                <w:szCs w:val="20"/>
                <w:highlight w:val="cyan"/>
                <w:lang w:val="uk-UA"/>
              </w:rPr>
            </w:pPr>
            <w:r w:rsidRPr="0028550D">
              <w:rPr>
                <w:sz w:val="20"/>
                <w:szCs w:val="20"/>
                <w:lang w:val="uk-UA"/>
              </w:rPr>
              <w:t>Олімпу, 30 Егкомі, поштовий індекс 2411, Нікосія, Кіпр</w:t>
            </w:r>
          </w:p>
        </w:tc>
        <w:tc>
          <w:tcPr>
            <w:tcW w:w="1144" w:type="dxa"/>
            <w:vAlign w:val="center"/>
          </w:tcPr>
          <w:p w:rsidR="0028550D" w:rsidRPr="0028550D" w:rsidRDefault="0028550D" w:rsidP="0028550D">
            <w:pPr>
              <w:jc w:val="center"/>
              <w:rPr>
                <w:sz w:val="20"/>
                <w:szCs w:val="20"/>
                <w:lang w:val="uk-UA"/>
              </w:rPr>
            </w:pPr>
            <w:r w:rsidRPr="0028550D">
              <w:rPr>
                <w:sz w:val="20"/>
                <w:szCs w:val="20"/>
              </w:rPr>
              <w:t>32584</w:t>
            </w:r>
          </w:p>
        </w:tc>
      </w:tr>
      <w:tr w:rsidR="0028550D" w:rsidRPr="0028550D" w:rsidTr="0028550D">
        <w:tc>
          <w:tcPr>
            <w:tcW w:w="368" w:type="dxa"/>
            <w:vAlign w:val="center"/>
          </w:tcPr>
          <w:p w:rsidR="0028550D" w:rsidRPr="0028550D" w:rsidRDefault="0028550D" w:rsidP="0028550D">
            <w:pPr>
              <w:jc w:val="right"/>
              <w:rPr>
                <w:sz w:val="20"/>
                <w:szCs w:val="20"/>
                <w:lang w:val="uk-UA"/>
              </w:rPr>
            </w:pPr>
            <w:r w:rsidRPr="0028550D">
              <w:rPr>
                <w:sz w:val="20"/>
                <w:szCs w:val="20"/>
                <w:lang w:val="uk-UA"/>
              </w:rPr>
              <w:t>5</w:t>
            </w:r>
          </w:p>
        </w:tc>
        <w:tc>
          <w:tcPr>
            <w:tcW w:w="2800" w:type="dxa"/>
          </w:tcPr>
          <w:p w:rsidR="0028550D" w:rsidRPr="0028550D" w:rsidRDefault="0028550D" w:rsidP="0028550D">
            <w:pPr>
              <w:pStyle w:val="a8"/>
              <w:tabs>
                <w:tab w:val="left" w:pos="6379"/>
              </w:tabs>
            </w:pPr>
            <w:r w:rsidRPr="0028550D">
              <w:rPr>
                <w:caps/>
                <w:color w:val="333333"/>
                <w:lang w:val="en-US"/>
              </w:rPr>
              <w:t>SEMETANO</w:t>
            </w:r>
            <w:r w:rsidRPr="0028550D">
              <w:rPr>
                <w:caps/>
                <w:color w:val="333333"/>
              </w:rPr>
              <w:t xml:space="preserve"> </w:t>
            </w:r>
            <w:r w:rsidRPr="0028550D">
              <w:rPr>
                <w:caps/>
                <w:color w:val="333333"/>
                <w:lang w:val="en-US"/>
              </w:rPr>
              <w:t>CONSULTANTS</w:t>
            </w:r>
            <w:r w:rsidRPr="0028550D">
              <w:rPr>
                <w:caps/>
                <w:color w:val="333333"/>
              </w:rPr>
              <w:t xml:space="preserve"> </w:t>
            </w:r>
            <w:r w:rsidRPr="0028550D">
              <w:rPr>
                <w:caps/>
                <w:color w:val="333333"/>
                <w:lang w:val="en-US"/>
              </w:rPr>
              <w:t>LIMITED</w:t>
            </w:r>
          </w:p>
        </w:tc>
        <w:tc>
          <w:tcPr>
            <w:tcW w:w="1299" w:type="dxa"/>
            <w:vAlign w:val="center"/>
          </w:tcPr>
          <w:p w:rsidR="0028550D" w:rsidRPr="0028550D" w:rsidRDefault="0028550D" w:rsidP="0028550D">
            <w:pPr>
              <w:pStyle w:val="a8"/>
              <w:tabs>
                <w:tab w:val="left" w:pos="6379"/>
              </w:tabs>
              <w:jc w:val="center"/>
            </w:pPr>
            <w:r w:rsidRPr="0028550D">
              <w:t>НЕ 316225</w:t>
            </w:r>
          </w:p>
        </w:tc>
        <w:tc>
          <w:tcPr>
            <w:tcW w:w="3621" w:type="dxa"/>
            <w:vAlign w:val="center"/>
          </w:tcPr>
          <w:p w:rsidR="0028550D" w:rsidRPr="0028550D" w:rsidRDefault="0028550D" w:rsidP="00660048">
            <w:pPr>
              <w:rPr>
                <w:sz w:val="20"/>
                <w:szCs w:val="20"/>
                <w:highlight w:val="cyan"/>
              </w:rPr>
            </w:pPr>
            <w:r w:rsidRPr="0028550D">
              <w:rPr>
                <w:sz w:val="20"/>
                <w:szCs w:val="20"/>
                <w:lang w:val="uk-UA"/>
              </w:rPr>
              <w:t>Врайсудьйон, 174 ЧАПО КОМПЛЕКС ХАУС,1 поштовий індекс 5295, Фамагуста, Кіпр</w:t>
            </w:r>
          </w:p>
        </w:tc>
        <w:tc>
          <w:tcPr>
            <w:tcW w:w="1144" w:type="dxa"/>
            <w:vAlign w:val="center"/>
          </w:tcPr>
          <w:p w:rsidR="0028550D" w:rsidRPr="0028550D" w:rsidRDefault="0028550D" w:rsidP="0028550D">
            <w:pPr>
              <w:jc w:val="center"/>
              <w:rPr>
                <w:sz w:val="20"/>
                <w:szCs w:val="20"/>
                <w:lang w:val="uk-UA"/>
              </w:rPr>
            </w:pPr>
            <w:r w:rsidRPr="0028550D">
              <w:rPr>
                <w:sz w:val="20"/>
                <w:szCs w:val="20"/>
              </w:rPr>
              <w:t>32583</w:t>
            </w:r>
          </w:p>
        </w:tc>
      </w:tr>
      <w:tr w:rsidR="0028550D" w:rsidRPr="0028550D" w:rsidTr="0028550D">
        <w:tc>
          <w:tcPr>
            <w:tcW w:w="368" w:type="dxa"/>
            <w:vAlign w:val="center"/>
          </w:tcPr>
          <w:p w:rsidR="0028550D" w:rsidRPr="0028550D" w:rsidRDefault="0028550D" w:rsidP="0028550D">
            <w:pPr>
              <w:jc w:val="right"/>
              <w:rPr>
                <w:sz w:val="20"/>
                <w:szCs w:val="20"/>
                <w:lang w:val="uk-UA"/>
              </w:rPr>
            </w:pPr>
            <w:r w:rsidRPr="0028550D">
              <w:rPr>
                <w:sz w:val="20"/>
                <w:szCs w:val="20"/>
                <w:lang w:val="uk-UA"/>
              </w:rPr>
              <w:t>6</w:t>
            </w:r>
          </w:p>
        </w:tc>
        <w:tc>
          <w:tcPr>
            <w:tcW w:w="2800" w:type="dxa"/>
          </w:tcPr>
          <w:p w:rsidR="0028550D" w:rsidRPr="0028550D" w:rsidRDefault="0028550D" w:rsidP="0028550D">
            <w:pPr>
              <w:pStyle w:val="a8"/>
              <w:tabs>
                <w:tab w:val="left" w:pos="6379"/>
              </w:tabs>
            </w:pPr>
            <w:r w:rsidRPr="0028550D">
              <w:rPr>
                <w:caps/>
                <w:color w:val="333333"/>
                <w:lang w:val="en-US"/>
              </w:rPr>
              <w:t>STREAMLANDS</w:t>
            </w:r>
            <w:r w:rsidRPr="0028550D">
              <w:rPr>
                <w:caps/>
                <w:color w:val="333333"/>
              </w:rPr>
              <w:t xml:space="preserve"> </w:t>
            </w:r>
            <w:r w:rsidRPr="0028550D">
              <w:rPr>
                <w:caps/>
                <w:color w:val="333333"/>
                <w:lang w:val="en-US"/>
              </w:rPr>
              <w:t>CONSULTANTS</w:t>
            </w:r>
            <w:r w:rsidRPr="0028550D">
              <w:rPr>
                <w:caps/>
                <w:color w:val="333333"/>
              </w:rPr>
              <w:t xml:space="preserve"> </w:t>
            </w:r>
            <w:r w:rsidRPr="0028550D">
              <w:rPr>
                <w:caps/>
                <w:color w:val="333333"/>
                <w:lang w:val="en-US"/>
              </w:rPr>
              <w:t>LIMITED</w:t>
            </w:r>
          </w:p>
        </w:tc>
        <w:tc>
          <w:tcPr>
            <w:tcW w:w="1299" w:type="dxa"/>
            <w:vAlign w:val="center"/>
          </w:tcPr>
          <w:p w:rsidR="0028550D" w:rsidRPr="0028550D" w:rsidRDefault="0028550D" w:rsidP="0028550D">
            <w:pPr>
              <w:pStyle w:val="a8"/>
              <w:tabs>
                <w:tab w:val="left" w:pos="6379"/>
              </w:tabs>
              <w:jc w:val="center"/>
            </w:pPr>
            <w:r w:rsidRPr="0028550D">
              <w:t>НЕ 316227</w:t>
            </w:r>
          </w:p>
        </w:tc>
        <w:tc>
          <w:tcPr>
            <w:tcW w:w="3621" w:type="dxa"/>
            <w:vAlign w:val="center"/>
          </w:tcPr>
          <w:p w:rsidR="0028550D" w:rsidRPr="0028550D" w:rsidRDefault="0028550D" w:rsidP="00660048">
            <w:pPr>
              <w:rPr>
                <w:sz w:val="20"/>
                <w:szCs w:val="20"/>
                <w:highlight w:val="cyan"/>
              </w:rPr>
            </w:pPr>
            <w:r w:rsidRPr="0028550D">
              <w:rPr>
                <w:sz w:val="20"/>
                <w:szCs w:val="20"/>
                <w:lang w:val="uk-UA"/>
              </w:rPr>
              <w:t>Врайсудьйон, 176 ЧАПО КОМПЛЕКС ХАУС, 9 поштовий індекс 5295, Фамагуста, Кіпр</w:t>
            </w:r>
          </w:p>
        </w:tc>
        <w:tc>
          <w:tcPr>
            <w:tcW w:w="1144" w:type="dxa"/>
            <w:vAlign w:val="center"/>
          </w:tcPr>
          <w:p w:rsidR="0028550D" w:rsidRPr="0028550D" w:rsidRDefault="0028550D" w:rsidP="0028550D">
            <w:pPr>
              <w:jc w:val="center"/>
              <w:rPr>
                <w:sz w:val="20"/>
                <w:szCs w:val="20"/>
                <w:lang w:val="uk-UA"/>
              </w:rPr>
            </w:pPr>
            <w:r w:rsidRPr="0028550D">
              <w:rPr>
                <w:sz w:val="20"/>
                <w:szCs w:val="20"/>
              </w:rPr>
              <w:t>32584</w:t>
            </w:r>
          </w:p>
        </w:tc>
      </w:tr>
      <w:tr w:rsidR="0028550D" w:rsidRPr="0028550D" w:rsidTr="0028550D">
        <w:tc>
          <w:tcPr>
            <w:tcW w:w="368" w:type="dxa"/>
            <w:vAlign w:val="center"/>
          </w:tcPr>
          <w:p w:rsidR="0028550D" w:rsidRPr="0028550D" w:rsidRDefault="0028550D" w:rsidP="0028550D">
            <w:pPr>
              <w:jc w:val="right"/>
              <w:rPr>
                <w:sz w:val="20"/>
                <w:szCs w:val="20"/>
                <w:lang w:val="uk-UA"/>
              </w:rPr>
            </w:pPr>
            <w:r w:rsidRPr="0028550D">
              <w:rPr>
                <w:sz w:val="20"/>
                <w:szCs w:val="20"/>
                <w:lang w:val="uk-UA"/>
              </w:rPr>
              <w:t>7</w:t>
            </w:r>
          </w:p>
        </w:tc>
        <w:tc>
          <w:tcPr>
            <w:tcW w:w="2800" w:type="dxa"/>
            <w:vAlign w:val="center"/>
          </w:tcPr>
          <w:p w:rsidR="0028550D" w:rsidRPr="0028550D" w:rsidRDefault="0028550D" w:rsidP="00660048">
            <w:pPr>
              <w:rPr>
                <w:sz w:val="20"/>
                <w:szCs w:val="20"/>
              </w:rPr>
            </w:pPr>
            <w:r w:rsidRPr="0028550D">
              <w:rPr>
                <w:sz w:val="20"/>
                <w:szCs w:val="20"/>
              </w:rPr>
              <w:t>ТОВ "Констанст"</w:t>
            </w:r>
          </w:p>
        </w:tc>
        <w:tc>
          <w:tcPr>
            <w:tcW w:w="1299" w:type="dxa"/>
            <w:vAlign w:val="center"/>
          </w:tcPr>
          <w:p w:rsidR="0028550D" w:rsidRPr="0028550D" w:rsidRDefault="0028550D" w:rsidP="0028550D">
            <w:pPr>
              <w:jc w:val="center"/>
              <w:rPr>
                <w:sz w:val="20"/>
                <w:szCs w:val="20"/>
              </w:rPr>
            </w:pPr>
            <w:r w:rsidRPr="0028550D">
              <w:rPr>
                <w:sz w:val="20"/>
                <w:szCs w:val="20"/>
              </w:rPr>
              <w:t>37044530</w:t>
            </w:r>
          </w:p>
        </w:tc>
        <w:tc>
          <w:tcPr>
            <w:tcW w:w="3621" w:type="dxa"/>
            <w:vAlign w:val="center"/>
          </w:tcPr>
          <w:p w:rsidR="0028550D" w:rsidRPr="0028550D" w:rsidRDefault="0028550D" w:rsidP="00660048">
            <w:pPr>
              <w:rPr>
                <w:sz w:val="20"/>
                <w:szCs w:val="20"/>
              </w:rPr>
            </w:pPr>
            <w:smartTag w:uri="urn:schemas-microsoft-com:office:smarttags" w:element="metricconverter">
              <w:smartTagPr>
                <w:attr w:name="ProductID" w:val="01004, м"/>
              </w:smartTagPr>
              <w:r w:rsidRPr="0028550D">
                <w:rPr>
                  <w:sz w:val="20"/>
                  <w:szCs w:val="20"/>
                </w:rPr>
                <w:t>01004, м</w:t>
              </w:r>
            </w:smartTag>
            <w:r w:rsidRPr="0028550D">
              <w:rPr>
                <w:sz w:val="20"/>
                <w:szCs w:val="20"/>
              </w:rPr>
              <w:t>.Київ, вул. Червоноармійська, 29-Б</w:t>
            </w:r>
          </w:p>
        </w:tc>
        <w:tc>
          <w:tcPr>
            <w:tcW w:w="1144" w:type="dxa"/>
            <w:vAlign w:val="center"/>
          </w:tcPr>
          <w:p w:rsidR="0028550D" w:rsidRPr="0028550D" w:rsidRDefault="0028550D" w:rsidP="0028550D">
            <w:pPr>
              <w:jc w:val="center"/>
              <w:rPr>
                <w:sz w:val="20"/>
                <w:szCs w:val="20"/>
                <w:lang w:val="uk-UA"/>
              </w:rPr>
            </w:pPr>
            <w:r w:rsidRPr="0028550D">
              <w:rPr>
                <w:sz w:val="20"/>
                <w:szCs w:val="20"/>
              </w:rPr>
              <w:t>27644</w:t>
            </w:r>
          </w:p>
        </w:tc>
      </w:tr>
      <w:tr w:rsidR="0028550D" w:rsidRPr="0028550D" w:rsidTr="0028550D">
        <w:tc>
          <w:tcPr>
            <w:tcW w:w="368" w:type="dxa"/>
            <w:vAlign w:val="center"/>
          </w:tcPr>
          <w:p w:rsidR="0028550D" w:rsidRPr="0028550D" w:rsidRDefault="0028550D" w:rsidP="0028550D">
            <w:pPr>
              <w:jc w:val="right"/>
              <w:rPr>
                <w:sz w:val="20"/>
                <w:szCs w:val="20"/>
                <w:lang w:val="uk-UA"/>
              </w:rPr>
            </w:pPr>
            <w:r w:rsidRPr="0028550D">
              <w:rPr>
                <w:sz w:val="20"/>
                <w:szCs w:val="20"/>
                <w:lang w:val="uk-UA"/>
              </w:rPr>
              <w:t>8</w:t>
            </w:r>
          </w:p>
        </w:tc>
        <w:tc>
          <w:tcPr>
            <w:tcW w:w="2800" w:type="dxa"/>
            <w:vAlign w:val="center"/>
          </w:tcPr>
          <w:p w:rsidR="0028550D" w:rsidRPr="0028550D" w:rsidRDefault="0028550D" w:rsidP="00660048">
            <w:pPr>
              <w:rPr>
                <w:sz w:val="20"/>
                <w:szCs w:val="20"/>
              </w:rPr>
            </w:pPr>
            <w:r w:rsidRPr="0028550D">
              <w:rPr>
                <w:sz w:val="20"/>
                <w:szCs w:val="20"/>
              </w:rPr>
              <w:t>ТОВ "Лудтек</w:t>
            </w:r>
            <w:r w:rsidRPr="0028550D">
              <w:rPr>
                <w:sz w:val="20"/>
                <w:szCs w:val="20"/>
                <w:lang w:val="uk-UA"/>
              </w:rPr>
              <w:t>т</w:t>
            </w:r>
            <w:r w:rsidRPr="0028550D">
              <w:rPr>
                <w:sz w:val="20"/>
                <w:szCs w:val="20"/>
              </w:rPr>
              <w:t>"</w:t>
            </w:r>
          </w:p>
        </w:tc>
        <w:tc>
          <w:tcPr>
            <w:tcW w:w="1299" w:type="dxa"/>
            <w:vAlign w:val="center"/>
          </w:tcPr>
          <w:p w:rsidR="0028550D" w:rsidRPr="0028550D" w:rsidRDefault="0028550D" w:rsidP="0028550D">
            <w:pPr>
              <w:jc w:val="center"/>
              <w:rPr>
                <w:sz w:val="20"/>
                <w:szCs w:val="20"/>
              </w:rPr>
            </w:pPr>
            <w:r w:rsidRPr="0028550D">
              <w:rPr>
                <w:sz w:val="20"/>
                <w:szCs w:val="20"/>
              </w:rPr>
              <w:t>37044420</w:t>
            </w:r>
          </w:p>
        </w:tc>
        <w:tc>
          <w:tcPr>
            <w:tcW w:w="3621" w:type="dxa"/>
            <w:vAlign w:val="center"/>
          </w:tcPr>
          <w:p w:rsidR="0028550D" w:rsidRPr="0028550D" w:rsidRDefault="0028550D" w:rsidP="00660048">
            <w:pPr>
              <w:rPr>
                <w:sz w:val="20"/>
                <w:szCs w:val="20"/>
              </w:rPr>
            </w:pPr>
            <w:smartTag w:uri="urn:schemas-microsoft-com:office:smarttags" w:element="metricconverter">
              <w:smartTagPr>
                <w:attr w:name="ProductID" w:val="01103. м"/>
              </w:smartTagPr>
              <w:r w:rsidRPr="0028550D">
                <w:rPr>
                  <w:sz w:val="20"/>
                  <w:szCs w:val="20"/>
                </w:rPr>
                <w:t>01103. м</w:t>
              </w:r>
            </w:smartTag>
            <w:r w:rsidRPr="0028550D">
              <w:rPr>
                <w:sz w:val="20"/>
                <w:szCs w:val="20"/>
              </w:rPr>
              <w:t>.Київ, вул. Підвисоцького,7</w:t>
            </w:r>
          </w:p>
        </w:tc>
        <w:tc>
          <w:tcPr>
            <w:tcW w:w="1144" w:type="dxa"/>
            <w:vAlign w:val="center"/>
          </w:tcPr>
          <w:p w:rsidR="0028550D" w:rsidRPr="0028550D" w:rsidRDefault="0028550D" w:rsidP="0028550D">
            <w:pPr>
              <w:jc w:val="center"/>
              <w:rPr>
                <w:sz w:val="20"/>
                <w:szCs w:val="20"/>
                <w:lang w:val="uk-UA"/>
              </w:rPr>
            </w:pPr>
            <w:r w:rsidRPr="0028550D">
              <w:rPr>
                <w:sz w:val="20"/>
                <w:szCs w:val="20"/>
              </w:rPr>
              <w:t>78943</w:t>
            </w:r>
          </w:p>
        </w:tc>
      </w:tr>
      <w:tr w:rsidR="0028550D" w:rsidRPr="0028550D" w:rsidTr="0028550D">
        <w:tc>
          <w:tcPr>
            <w:tcW w:w="368" w:type="dxa"/>
            <w:vAlign w:val="center"/>
          </w:tcPr>
          <w:p w:rsidR="0028550D" w:rsidRPr="0028550D" w:rsidRDefault="0028550D" w:rsidP="0028550D">
            <w:pPr>
              <w:jc w:val="right"/>
              <w:rPr>
                <w:sz w:val="20"/>
                <w:szCs w:val="20"/>
                <w:lang w:val="uk-UA"/>
              </w:rPr>
            </w:pPr>
            <w:r w:rsidRPr="0028550D">
              <w:rPr>
                <w:sz w:val="20"/>
                <w:szCs w:val="20"/>
                <w:lang w:val="uk-UA"/>
              </w:rPr>
              <w:t>9</w:t>
            </w:r>
          </w:p>
        </w:tc>
        <w:tc>
          <w:tcPr>
            <w:tcW w:w="2800" w:type="dxa"/>
            <w:vAlign w:val="center"/>
          </w:tcPr>
          <w:p w:rsidR="0028550D" w:rsidRPr="0028550D" w:rsidRDefault="0028550D" w:rsidP="00660048">
            <w:pPr>
              <w:rPr>
                <w:sz w:val="20"/>
                <w:szCs w:val="20"/>
              </w:rPr>
            </w:pPr>
            <w:r w:rsidRPr="0028550D">
              <w:rPr>
                <w:sz w:val="20"/>
                <w:szCs w:val="20"/>
              </w:rPr>
              <w:t>ТОВ "Фонтеск"</w:t>
            </w:r>
          </w:p>
        </w:tc>
        <w:tc>
          <w:tcPr>
            <w:tcW w:w="1299" w:type="dxa"/>
            <w:vAlign w:val="center"/>
          </w:tcPr>
          <w:p w:rsidR="0028550D" w:rsidRPr="0028550D" w:rsidRDefault="0028550D" w:rsidP="0028550D">
            <w:pPr>
              <w:jc w:val="center"/>
              <w:rPr>
                <w:sz w:val="20"/>
                <w:szCs w:val="20"/>
              </w:rPr>
            </w:pPr>
            <w:r w:rsidRPr="0028550D">
              <w:rPr>
                <w:sz w:val="20"/>
                <w:szCs w:val="20"/>
              </w:rPr>
              <w:t>37044546</w:t>
            </w:r>
          </w:p>
        </w:tc>
        <w:tc>
          <w:tcPr>
            <w:tcW w:w="3621" w:type="dxa"/>
            <w:vAlign w:val="center"/>
          </w:tcPr>
          <w:p w:rsidR="0028550D" w:rsidRPr="0028550D" w:rsidRDefault="0028550D" w:rsidP="00660048">
            <w:pPr>
              <w:rPr>
                <w:sz w:val="20"/>
                <w:szCs w:val="20"/>
              </w:rPr>
            </w:pPr>
            <w:smartTag w:uri="urn:schemas-microsoft-com:office:smarttags" w:element="metricconverter">
              <w:smartTagPr>
                <w:attr w:name="ProductID" w:val="01004, м"/>
              </w:smartTagPr>
              <w:r w:rsidRPr="0028550D">
                <w:rPr>
                  <w:sz w:val="20"/>
                  <w:szCs w:val="20"/>
                </w:rPr>
                <w:t>01004, м</w:t>
              </w:r>
            </w:smartTag>
            <w:r w:rsidRPr="0028550D">
              <w:rPr>
                <w:sz w:val="20"/>
                <w:szCs w:val="20"/>
              </w:rPr>
              <w:t>.Київ, вул. Червоноармійська, 1-3/2, літера "А"</w:t>
            </w:r>
          </w:p>
        </w:tc>
        <w:tc>
          <w:tcPr>
            <w:tcW w:w="1144" w:type="dxa"/>
            <w:vAlign w:val="center"/>
          </w:tcPr>
          <w:p w:rsidR="0028550D" w:rsidRPr="0028550D" w:rsidRDefault="0028550D" w:rsidP="0028550D">
            <w:pPr>
              <w:jc w:val="center"/>
              <w:rPr>
                <w:sz w:val="20"/>
                <w:szCs w:val="20"/>
                <w:lang w:val="uk-UA"/>
              </w:rPr>
            </w:pPr>
            <w:r w:rsidRPr="0028550D">
              <w:rPr>
                <w:sz w:val="20"/>
                <w:szCs w:val="20"/>
              </w:rPr>
              <w:t>88913</w:t>
            </w:r>
          </w:p>
        </w:tc>
      </w:tr>
      <w:tr w:rsidR="0028550D" w:rsidRPr="0028550D" w:rsidTr="0028550D">
        <w:tc>
          <w:tcPr>
            <w:tcW w:w="368" w:type="dxa"/>
            <w:vAlign w:val="center"/>
          </w:tcPr>
          <w:p w:rsidR="0028550D" w:rsidRPr="0028550D" w:rsidRDefault="0028550D" w:rsidP="0028550D">
            <w:pPr>
              <w:jc w:val="right"/>
              <w:rPr>
                <w:sz w:val="20"/>
                <w:szCs w:val="20"/>
                <w:lang w:val="uk-UA"/>
              </w:rPr>
            </w:pPr>
          </w:p>
        </w:tc>
        <w:tc>
          <w:tcPr>
            <w:tcW w:w="2800" w:type="dxa"/>
          </w:tcPr>
          <w:p w:rsidR="0028550D" w:rsidRPr="0028550D" w:rsidRDefault="0028550D" w:rsidP="0028550D">
            <w:pPr>
              <w:pStyle w:val="a8"/>
              <w:tabs>
                <w:tab w:val="left" w:pos="6379"/>
              </w:tabs>
              <w:rPr>
                <w:caps/>
                <w:color w:val="333333"/>
              </w:rPr>
            </w:pPr>
            <w:r w:rsidRPr="0028550D">
              <w:rPr>
                <w:caps/>
                <w:color w:val="333333"/>
              </w:rPr>
              <w:t>Всього</w:t>
            </w:r>
          </w:p>
        </w:tc>
        <w:tc>
          <w:tcPr>
            <w:tcW w:w="1299" w:type="dxa"/>
            <w:vAlign w:val="center"/>
          </w:tcPr>
          <w:p w:rsidR="0028550D" w:rsidRPr="0028550D" w:rsidRDefault="0028550D" w:rsidP="0028550D">
            <w:pPr>
              <w:pStyle w:val="a8"/>
              <w:tabs>
                <w:tab w:val="left" w:pos="6379"/>
              </w:tabs>
              <w:jc w:val="center"/>
            </w:pPr>
          </w:p>
        </w:tc>
        <w:tc>
          <w:tcPr>
            <w:tcW w:w="3621" w:type="dxa"/>
            <w:vAlign w:val="center"/>
          </w:tcPr>
          <w:p w:rsidR="0028550D" w:rsidRPr="0028550D" w:rsidRDefault="0028550D" w:rsidP="00660048">
            <w:pPr>
              <w:rPr>
                <w:sz w:val="20"/>
                <w:szCs w:val="20"/>
                <w:lang w:val="uk-UA"/>
              </w:rPr>
            </w:pPr>
          </w:p>
        </w:tc>
        <w:tc>
          <w:tcPr>
            <w:tcW w:w="1144" w:type="dxa"/>
            <w:vAlign w:val="center"/>
          </w:tcPr>
          <w:p w:rsidR="0028550D" w:rsidRPr="0028550D" w:rsidRDefault="0028550D" w:rsidP="0028550D">
            <w:pPr>
              <w:jc w:val="center"/>
              <w:rPr>
                <w:sz w:val="20"/>
                <w:szCs w:val="20"/>
              </w:rPr>
            </w:pPr>
            <w:r w:rsidRPr="0028550D">
              <w:rPr>
                <w:rFonts w:ascii="Arial CYR" w:hAnsi="Arial CYR" w:cs="Arial CYR"/>
                <w:sz w:val="20"/>
                <w:szCs w:val="20"/>
              </w:rPr>
              <w:t>391000</w:t>
            </w:r>
          </w:p>
        </w:tc>
      </w:tr>
    </w:tbl>
    <w:p w:rsidR="006B5D46" w:rsidRPr="00EE235E" w:rsidRDefault="006B5D46" w:rsidP="00501FE3">
      <w:pPr>
        <w:spacing w:before="120"/>
        <w:ind w:left="426"/>
        <w:jc w:val="both"/>
        <w:rPr>
          <w:highlight w:val="cyan"/>
          <w:lang w:val="uk-UA"/>
        </w:rPr>
      </w:pPr>
      <w:r w:rsidRPr="00FF4643">
        <w:rPr>
          <w:bCs/>
          <w:iCs/>
          <w:lang w:val="uk-UA"/>
        </w:rPr>
        <w:t xml:space="preserve">Частка нерезидентів у статутному капіталі страховика становить </w:t>
      </w:r>
      <w:r w:rsidRPr="00501FE3">
        <w:rPr>
          <w:bCs/>
          <w:iCs/>
          <w:lang w:val="uk-UA"/>
        </w:rPr>
        <w:t>9 775,0 тис.грн. (372,7</w:t>
      </w:r>
      <w:r w:rsidRPr="00501FE3">
        <w:rPr>
          <w:lang w:val="uk-UA"/>
        </w:rPr>
        <w:t xml:space="preserve"> тис.ЄВРО</w:t>
      </w:r>
      <w:r w:rsidRPr="00501FE3">
        <w:rPr>
          <w:bCs/>
          <w:iCs/>
          <w:lang w:val="uk-UA"/>
        </w:rPr>
        <w:t xml:space="preserve">), або 50,0 %. </w:t>
      </w:r>
    </w:p>
    <w:p w:rsidR="006B5D46" w:rsidRPr="00FF4643" w:rsidRDefault="006B5D46" w:rsidP="004969E4">
      <w:pPr>
        <w:numPr>
          <w:ilvl w:val="0"/>
          <w:numId w:val="3"/>
        </w:numPr>
        <w:ind w:left="426" w:hanging="426"/>
        <w:jc w:val="both"/>
        <w:rPr>
          <w:lang w:val="uk-UA"/>
        </w:rPr>
      </w:pPr>
      <w:r w:rsidRPr="00FF4643">
        <w:rPr>
          <w:lang w:val="uk-UA"/>
        </w:rPr>
        <w:t xml:space="preserve">відокремлених підрозділів </w:t>
      </w:r>
      <w:r w:rsidRPr="0028550D">
        <w:rPr>
          <w:lang w:val="uk-UA"/>
        </w:rPr>
        <w:t>ПрАТ «СК «Реноме»</w:t>
      </w:r>
      <w:r w:rsidRPr="00FF4643">
        <w:rPr>
          <w:color w:val="0000FF"/>
          <w:lang w:val="uk-UA"/>
        </w:rPr>
        <w:t xml:space="preserve"> </w:t>
      </w:r>
      <w:r w:rsidRPr="00FF4643">
        <w:rPr>
          <w:lang w:val="uk-UA"/>
        </w:rPr>
        <w:t>не має.</w:t>
      </w:r>
    </w:p>
    <w:p w:rsidR="006B5D46" w:rsidRPr="00FF4643" w:rsidRDefault="006B5D46" w:rsidP="00960C40">
      <w:pPr>
        <w:rPr>
          <w:lang w:val="uk-UA"/>
        </w:rPr>
      </w:pPr>
    </w:p>
    <w:p w:rsidR="006B5D46" w:rsidRPr="00FF4643" w:rsidRDefault="006B5D46" w:rsidP="009979E8">
      <w:pPr>
        <w:jc w:val="both"/>
        <w:rPr>
          <w:b/>
          <w:i/>
          <w:lang w:val="uk-UA"/>
        </w:rPr>
      </w:pPr>
      <w:r w:rsidRPr="00FF4643">
        <w:rPr>
          <w:b/>
          <w:i/>
          <w:lang w:val="uk-UA"/>
        </w:rPr>
        <w:t>Склад перевіреної фінансової звітності:</w:t>
      </w:r>
    </w:p>
    <w:p w:rsidR="006B5D46" w:rsidRPr="00FF4643" w:rsidRDefault="006B5D46" w:rsidP="00763663">
      <w:pPr>
        <w:numPr>
          <w:ilvl w:val="0"/>
          <w:numId w:val="3"/>
        </w:numPr>
        <w:ind w:left="426" w:hanging="426"/>
        <w:jc w:val="both"/>
        <w:rPr>
          <w:lang w:val="uk-UA"/>
        </w:rPr>
      </w:pPr>
      <w:r w:rsidRPr="00FF4643">
        <w:rPr>
          <w:color w:val="000000"/>
          <w:lang w:val="uk-UA"/>
        </w:rPr>
        <w:t xml:space="preserve">Баланс (Звіт про фінансовий стан) станом на 31 грудня 2015 року; </w:t>
      </w:r>
    </w:p>
    <w:p w:rsidR="006B5D46" w:rsidRPr="00FF4643" w:rsidRDefault="006B5D46" w:rsidP="00763663">
      <w:pPr>
        <w:numPr>
          <w:ilvl w:val="0"/>
          <w:numId w:val="3"/>
        </w:numPr>
        <w:ind w:left="426" w:hanging="426"/>
        <w:jc w:val="both"/>
        <w:rPr>
          <w:lang w:val="uk-UA"/>
        </w:rPr>
      </w:pPr>
      <w:r w:rsidRPr="00FF4643">
        <w:rPr>
          <w:color w:val="000000"/>
          <w:lang w:val="uk-UA"/>
        </w:rPr>
        <w:t xml:space="preserve">Звіт про фінансові результати (Звіт про сукупний дохід) за 2015 рік; </w:t>
      </w:r>
    </w:p>
    <w:p w:rsidR="006B5D46" w:rsidRPr="00FF4643" w:rsidRDefault="006B5D46" w:rsidP="00763663">
      <w:pPr>
        <w:numPr>
          <w:ilvl w:val="0"/>
          <w:numId w:val="3"/>
        </w:numPr>
        <w:ind w:left="426" w:hanging="426"/>
        <w:jc w:val="both"/>
        <w:rPr>
          <w:lang w:val="uk-UA"/>
        </w:rPr>
      </w:pPr>
      <w:r w:rsidRPr="00FF4643">
        <w:rPr>
          <w:color w:val="000000"/>
          <w:lang w:val="uk-UA"/>
        </w:rPr>
        <w:t xml:space="preserve">Звіт про рух грошових коштів за 2015 рік; </w:t>
      </w:r>
    </w:p>
    <w:p w:rsidR="006B5D46" w:rsidRPr="00FF4643" w:rsidRDefault="006B5D46" w:rsidP="00763663">
      <w:pPr>
        <w:numPr>
          <w:ilvl w:val="0"/>
          <w:numId w:val="3"/>
        </w:numPr>
        <w:ind w:left="426" w:hanging="426"/>
        <w:jc w:val="both"/>
        <w:rPr>
          <w:lang w:val="uk-UA"/>
        </w:rPr>
      </w:pPr>
      <w:r w:rsidRPr="00FF4643">
        <w:rPr>
          <w:color w:val="000000"/>
          <w:lang w:val="uk-UA"/>
        </w:rPr>
        <w:t xml:space="preserve">Звіт про власний капітал за 2015 рік; </w:t>
      </w:r>
    </w:p>
    <w:p w:rsidR="006B5D46" w:rsidRPr="00FF4643" w:rsidRDefault="006B5D46" w:rsidP="00763663">
      <w:pPr>
        <w:numPr>
          <w:ilvl w:val="0"/>
          <w:numId w:val="3"/>
        </w:numPr>
        <w:ind w:left="426" w:hanging="426"/>
        <w:jc w:val="both"/>
        <w:rPr>
          <w:lang w:val="uk-UA"/>
        </w:rPr>
      </w:pPr>
      <w:r w:rsidRPr="00FF4643">
        <w:rPr>
          <w:color w:val="000000"/>
          <w:lang w:val="uk-UA"/>
        </w:rPr>
        <w:t>Примітки до фінансової звітності за 2015 рік, у т.ч. стислий виклад облікових політик</w:t>
      </w:r>
      <w:r w:rsidRPr="00FF4643">
        <w:rPr>
          <w:iCs/>
          <w:lang w:val="uk-UA"/>
        </w:rPr>
        <w:t xml:space="preserve"> та </w:t>
      </w:r>
      <w:r w:rsidRPr="00FF4643">
        <w:rPr>
          <w:lang w:val="uk-UA"/>
        </w:rPr>
        <w:t>інша пояснювальна інформація щодо фінансової звітності.</w:t>
      </w:r>
    </w:p>
    <w:p w:rsidR="006B5D46" w:rsidRPr="00FF4643" w:rsidRDefault="006B5D46" w:rsidP="00960C40">
      <w:pPr>
        <w:shd w:val="clear" w:color="auto" w:fill="FFFFFF"/>
        <w:jc w:val="both"/>
        <w:outlineLvl w:val="0"/>
        <w:rPr>
          <w:b/>
          <w:i/>
          <w:iCs/>
          <w:lang w:val="uk-UA"/>
        </w:rPr>
      </w:pPr>
    </w:p>
    <w:p w:rsidR="006B5D46" w:rsidRPr="00FF4643" w:rsidRDefault="006B5D46" w:rsidP="0040258D">
      <w:pPr>
        <w:shd w:val="clear" w:color="auto" w:fill="FFFFFF"/>
        <w:jc w:val="both"/>
        <w:outlineLvl w:val="0"/>
        <w:rPr>
          <w:b/>
          <w:lang w:val="uk-UA"/>
        </w:rPr>
      </w:pPr>
      <w:r w:rsidRPr="00FF4643">
        <w:rPr>
          <w:b/>
          <w:iCs/>
          <w:lang w:val="uk-UA"/>
        </w:rPr>
        <w:t>1.2. Відповідальність управлінського персоналу за фінансову звітність</w:t>
      </w:r>
    </w:p>
    <w:p w:rsidR="006B5D46" w:rsidRPr="00FF4643" w:rsidRDefault="006B5D46" w:rsidP="0040258D">
      <w:pPr>
        <w:autoSpaceDE w:val="0"/>
        <w:autoSpaceDN w:val="0"/>
        <w:adjustRightInd w:val="0"/>
        <w:ind w:firstLine="748"/>
        <w:jc w:val="both"/>
        <w:rPr>
          <w:lang w:val="uk-UA"/>
        </w:rPr>
      </w:pPr>
      <w:r w:rsidRPr="00FF4643">
        <w:rPr>
          <w:lang w:val="uk-UA"/>
        </w:rPr>
        <w:t xml:space="preserve">Відповідальність за складання й достовірне подання фінансової звітності до застосовної концептуальної основи, якою є Міжнародні стандарти фінансової звітності (МСФЗ) відповідно до Закону України "Про бухгалтерський облік та фінансову звітність в Україні", а також за такий внутрішній контроль, який управлінський персонал визначає потрібним для того, щоб забезпечити складання фінансової звітності, яка не містить суттєвих викривлень унаслідок шахрайства або помилки, покладено на керівництво </w:t>
      </w:r>
      <w:r w:rsidRPr="00501FE3">
        <w:rPr>
          <w:lang w:val="uk-UA"/>
        </w:rPr>
        <w:t>ПрАТ «СК «Реноме»</w:t>
      </w:r>
      <w:r w:rsidRPr="00FF4643">
        <w:rPr>
          <w:color w:val="0000FF"/>
          <w:lang w:val="uk-UA"/>
        </w:rPr>
        <w:t xml:space="preserve"> </w:t>
      </w:r>
      <w:r w:rsidRPr="00FF4643">
        <w:rPr>
          <w:lang w:val="uk-UA"/>
        </w:rPr>
        <w:t>(голова правління, головний бухгалтер).</w:t>
      </w:r>
    </w:p>
    <w:p w:rsidR="006B5D46" w:rsidRPr="00FF4643" w:rsidRDefault="006B5D46" w:rsidP="00960C40">
      <w:pPr>
        <w:shd w:val="clear" w:color="auto" w:fill="FFFFFF"/>
        <w:jc w:val="both"/>
        <w:outlineLvl w:val="0"/>
        <w:rPr>
          <w:b/>
          <w:i/>
          <w:iCs/>
          <w:lang w:val="uk-UA"/>
        </w:rPr>
      </w:pPr>
    </w:p>
    <w:p w:rsidR="006B5D46" w:rsidRPr="00FF4643" w:rsidRDefault="006B5D46" w:rsidP="0040258D">
      <w:pPr>
        <w:shd w:val="clear" w:color="auto" w:fill="FFFFFF"/>
        <w:jc w:val="both"/>
        <w:outlineLvl w:val="0"/>
        <w:rPr>
          <w:b/>
          <w:lang w:val="uk-UA"/>
        </w:rPr>
      </w:pPr>
      <w:r w:rsidRPr="00FF4643">
        <w:rPr>
          <w:b/>
          <w:iCs/>
          <w:spacing w:val="-3"/>
          <w:lang w:val="uk-UA"/>
        </w:rPr>
        <w:t>1.3. Відповідальність аудитора</w:t>
      </w:r>
    </w:p>
    <w:p w:rsidR="006B5D46" w:rsidRPr="00FF4643" w:rsidRDefault="006B5D46" w:rsidP="0040258D">
      <w:pPr>
        <w:ind w:firstLine="708"/>
        <w:jc w:val="both"/>
        <w:rPr>
          <w:lang w:val="uk-UA"/>
        </w:rPr>
      </w:pPr>
      <w:r w:rsidRPr="00FF4643">
        <w:rPr>
          <w:lang w:val="uk-UA"/>
        </w:rPr>
        <w:t xml:space="preserve">Нашою відповідальністю є висловлення неупередженої думки щодо наданої фінансової звітності на основі результатів проведеного нами аудиту. </w:t>
      </w:r>
    </w:p>
    <w:p w:rsidR="006B5D46" w:rsidRPr="00FF4643" w:rsidRDefault="006B5D46" w:rsidP="009979E8">
      <w:pPr>
        <w:spacing w:before="120"/>
        <w:ind w:right="-1" w:firstLine="714"/>
        <w:jc w:val="both"/>
        <w:outlineLvl w:val="0"/>
        <w:rPr>
          <w:bCs/>
          <w:i/>
          <w:color w:val="000000"/>
          <w:lang w:val="uk-UA"/>
        </w:rPr>
      </w:pPr>
      <w:r w:rsidRPr="00FF4643">
        <w:rPr>
          <w:lang w:val="uk-UA"/>
        </w:rPr>
        <w:lastRenderedPageBreak/>
        <w:t xml:space="preserve">Ми провели аудит відповідно до Міжнародних стандартів контролю якості, аудиту, огляду, іншого надання впевненості та супутніх послуг </w:t>
      </w:r>
      <w:r w:rsidRPr="00FF4643">
        <w:rPr>
          <w:bCs/>
          <w:lang w:val="uk-UA"/>
        </w:rPr>
        <w:t xml:space="preserve">(МСА </w:t>
      </w:r>
      <w:r w:rsidRPr="00FF4643">
        <w:rPr>
          <w:bCs/>
          <w:color w:val="000000"/>
          <w:lang w:val="uk-UA"/>
        </w:rPr>
        <w:t>видання 2014 року</w:t>
      </w:r>
      <w:r w:rsidRPr="00FF4643">
        <w:rPr>
          <w:lang w:val="uk-UA"/>
        </w:rPr>
        <w:t xml:space="preserve">), </w:t>
      </w:r>
      <w:r w:rsidRPr="00FF4643">
        <w:rPr>
          <w:i/>
          <w:lang w:val="uk-UA"/>
        </w:rPr>
        <w:t>з урахуванням вимог, затвердженими розпорядженням Нацкомфінпослуг № 39 від 03.02.2004 р., а також рішенням НКЦПФР № 2187 від 08.10.2013 р.</w:t>
      </w:r>
    </w:p>
    <w:p w:rsidR="006B5D46" w:rsidRPr="00FF4643" w:rsidRDefault="006B5D46" w:rsidP="009979E8">
      <w:pPr>
        <w:autoSpaceDE w:val="0"/>
        <w:autoSpaceDN w:val="0"/>
        <w:adjustRightInd w:val="0"/>
        <w:spacing w:before="120" w:after="120"/>
        <w:ind w:firstLine="708"/>
        <w:jc w:val="both"/>
        <w:rPr>
          <w:lang w:val="uk-UA"/>
        </w:rPr>
      </w:pPr>
      <w:r w:rsidRPr="00FF4643">
        <w:rPr>
          <w:lang w:val="uk-UA"/>
        </w:rPr>
        <w:t>Ці стандарти вимагають від аудитора дотримання етичних вимог та відповідного планування і виконання аудиту для отримання достатньої впевненості, що фінансові звіти не містять суттєвих викривлень. Аудит передбачає виконання аудиторських процедур для отримання аудиторських доказів щодо сум і розкриттів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використаної облікової політики, прийнятність облікових оцінок, виконаних управлінським персоналом, та загального подання фінансової звітності.</w:t>
      </w:r>
    </w:p>
    <w:p w:rsidR="006B5D46" w:rsidRPr="00FF4643" w:rsidRDefault="006B5D46" w:rsidP="0040258D">
      <w:pPr>
        <w:widowControl w:val="0"/>
        <w:jc w:val="both"/>
        <w:rPr>
          <w:b/>
          <w:i/>
          <w:lang w:val="uk-UA"/>
        </w:rPr>
      </w:pPr>
      <w:r w:rsidRPr="00FF4643">
        <w:rPr>
          <w:b/>
          <w:i/>
          <w:lang w:val="uk-UA"/>
        </w:rPr>
        <w:t>Ми вважаємо, що отримані аудиторські докази забезпечують достатню та відповідну основу для висловлення аудиторської думки.</w:t>
      </w:r>
    </w:p>
    <w:p w:rsidR="006B5D46" w:rsidRPr="00FF4643" w:rsidRDefault="006B5D46" w:rsidP="00960C40">
      <w:pPr>
        <w:shd w:val="clear" w:color="auto" w:fill="FFFFFF"/>
        <w:jc w:val="both"/>
        <w:outlineLvl w:val="0"/>
        <w:rPr>
          <w:b/>
          <w:i/>
          <w:iCs/>
          <w:lang w:val="uk-UA"/>
        </w:rPr>
      </w:pPr>
    </w:p>
    <w:p w:rsidR="006B5D46" w:rsidRPr="00FF4643" w:rsidRDefault="006B5D46" w:rsidP="00960C40">
      <w:pPr>
        <w:jc w:val="both"/>
        <w:outlineLvl w:val="0"/>
        <w:rPr>
          <w:b/>
          <w:lang w:val="uk-UA"/>
        </w:rPr>
      </w:pPr>
      <w:r w:rsidRPr="00FF4643">
        <w:rPr>
          <w:b/>
          <w:lang w:val="uk-UA"/>
        </w:rPr>
        <w:t>1.4. Думка аудитора щодо повного комплекту фінансової звітності</w:t>
      </w:r>
    </w:p>
    <w:p w:rsidR="006B5D46" w:rsidRPr="00FF4643" w:rsidRDefault="006B5D46" w:rsidP="00960C40">
      <w:pPr>
        <w:spacing w:before="120"/>
        <w:jc w:val="both"/>
        <w:rPr>
          <w:b/>
          <w:i/>
          <w:lang w:val="uk-UA"/>
        </w:rPr>
      </w:pPr>
      <w:r w:rsidRPr="00FF4643">
        <w:rPr>
          <w:b/>
          <w:i/>
          <w:lang w:val="uk-UA"/>
        </w:rPr>
        <w:t xml:space="preserve">Підстави для висловлення умовно-позитивної думки </w:t>
      </w:r>
    </w:p>
    <w:p w:rsidR="006B5D46" w:rsidRPr="00FF4643" w:rsidRDefault="006B5D46" w:rsidP="000302B1">
      <w:pPr>
        <w:ind w:firstLine="708"/>
        <w:jc w:val="both"/>
        <w:rPr>
          <w:lang w:val="uk-UA"/>
        </w:rPr>
      </w:pPr>
      <w:r w:rsidRPr="00FF4643">
        <w:rPr>
          <w:lang w:val="uk-UA"/>
        </w:rPr>
        <w:t>Фінансова звітність страховика не включає всі розкриття, що їх вимагає застосовна концептуальна основа фінансової звітності (МСФЗ): відсутні примітки з розкриття інформації  щодо використання справедливої вартості активів, зобов’язань.</w:t>
      </w:r>
    </w:p>
    <w:p w:rsidR="006B5D46" w:rsidRPr="00FF4643" w:rsidRDefault="006B5D46" w:rsidP="000302B1">
      <w:pPr>
        <w:ind w:firstLine="708"/>
        <w:jc w:val="both"/>
        <w:rPr>
          <w:lang w:val="uk-UA"/>
        </w:rPr>
      </w:pPr>
      <w:r w:rsidRPr="00FF4643">
        <w:rPr>
          <w:lang w:val="uk-UA"/>
        </w:rPr>
        <w:t>Довго</w:t>
      </w:r>
      <w:r w:rsidRPr="00F36987">
        <w:rPr>
          <w:lang w:val="uk-UA"/>
        </w:rPr>
        <w:t>стро</w:t>
      </w:r>
      <w:r w:rsidRPr="00FF4643">
        <w:rPr>
          <w:lang w:val="uk-UA"/>
        </w:rPr>
        <w:t>кові фінансові монетарні зобов’язання</w:t>
      </w:r>
      <w:r w:rsidRPr="00FF4643">
        <w:rPr>
          <w:sz w:val="25"/>
          <w:szCs w:val="25"/>
          <w:lang w:val="uk-UA"/>
        </w:rPr>
        <w:t xml:space="preserve"> в іноземній валюті на звітну дату 31.12.2015 р. не перераховані у функціональну валюту (гривні) за відповідним курсом обміну НБУ</w:t>
      </w:r>
      <w:r w:rsidRPr="00FF4643">
        <w:rPr>
          <w:lang w:val="uk-UA"/>
        </w:rPr>
        <w:t xml:space="preserve">, внаслідок чого обліковий фінансовий результат завищено на </w:t>
      </w:r>
      <w:r w:rsidRPr="00FF4643">
        <w:rPr>
          <w:b/>
          <w:lang w:val="uk-UA"/>
        </w:rPr>
        <w:t>2 400 тис.грн</w:t>
      </w:r>
      <w:r w:rsidRPr="00FF4643">
        <w:rPr>
          <w:lang w:val="uk-UA"/>
        </w:rPr>
        <w:t xml:space="preserve">. </w:t>
      </w:r>
    </w:p>
    <w:p w:rsidR="006B5D46" w:rsidRPr="00FF4643" w:rsidRDefault="006B5D46" w:rsidP="000302B1">
      <w:pPr>
        <w:ind w:firstLine="708"/>
        <w:jc w:val="both"/>
        <w:rPr>
          <w:lang w:val="uk-UA"/>
        </w:rPr>
      </w:pPr>
      <w:r w:rsidRPr="00FF4643">
        <w:rPr>
          <w:szCs w:val="20"/>
          <w:lang w:val="uk-UA"/>
        </w:rPr>
        <w:t>Через характер облікових оцінок аудитор доходить висновку, що можливий вплив на фінансову звітність виявлених викривлень може бути суттєвим, проте не всеохоплюючим.</w:t>
      </w:r>
      <w:r w:rsidRPr="00FF4643">
        <w:rPr>
          <w:lang w:val="uk-UA"/>
        </w:rPr>
        <w:t xml:space="preserve"> </w:t>
      </w:r>
    </w:p>
    <w:p w:rsidR="006B5D46" w:rsidRPr="00FF4643" w:rsidRDefault="006B5D46" w:rsidP="00960C40">
      <w:pPr>
        <w:spacing w:before="120" w:line="276" w:lineRule="auto"/>
        <w:rPr>
          <w:b/>
          <w:i/>
          <w:lang w:val="uk-UA"/>
        </w:rPr>
      </w:pPr>
      <w:r w:rsidRPr="00FF4643">
        <w:rPr>
          <w:b/>
          <w:i/>
          <w:lang w:val="uk-UA"/>
        </w:rPr>
        <w:t>Умовно-позитивна думка аудитора</w:t>
      </w:r>
    </w:p>
    <w:p w:rsidR="006B5D46" w:rsidRPr="00FF4643" w:rsidRDefault="006B5D46" w:rsidP="00960C40">
      <w:pPr>
        <w:ind w:firstLine="708"/>
        <w:jc w:val="both"/>
        <w:rPr>
          <w:lang w:val="uk-UA"/>
        </w:rPr>
      </w:pPr>
      <w:r w:rsidRPr="00FF4643">
        <w:rPr>
          <w:lang w:val="uk-UA"/>
        </w:rPr>
        <w:t xml:space="preserve">На думку аудитора, </w:t>
      </w:r>
      <w:r w:rsidRPr="00FF4643">
        <w:rPr>
          <w:b/>
          <w:i/>
          <w:color w:val="000000"/>
          <w:lang w:val="uk-UA"/>
        </w:rPr>
        <w:t>за винятком можливого впливу</w:t>
      </w:r>
      <w:r w:rsidRPr="00FF4643">
        <w:rPr>
          <w:color w:val="000000"/>
          <w:lang w:val="uk-UA"/>
        </w:rPr>
        <w:t xml:space="preserve"> питання, викладеного у параграфі «Підстава для висловлення умовно-позитивної думки»</w:t>
      </w:r>
      <w:r w:rsidRPr="00FF4643">
        <w:rPr>
          <w:lang w:val="uk-UA"/>
        </w:rPr>
        <w:t xml:space="preserve">, повний комплект фінансової звітності за 2015 рік </w:t>
      </w:r>
      <w:r w:rsidRPr="00FF4643">
        <w:rPr>
          <w:b/>
          <w:i/>
          <w:color w:val="000000"/>
          <w:lang w:val="uk-UA"/>
        </w:rPr>
        <w:t xml:space="preserve">відображає достовірно, в усіх суттєвих аспектах </w:t>
      </w:r>
      <w:r w:rsidRPr="00FF4643">
        <w:rPr>
          <w:color w:val="000000"/>
          <w:lang w:val="uk-UA"/>
        </w:rPr>
        <w:t>фінансовий стан</w:t>
      </w:r>
      <w:r w:rsidRPr="00FF4643">
        <w:rPr>
          <w:lang w:val="uk-UA"/>
        </w:rPr>
        <w:t xml:space="preserve"> Приватного акціонерного товариства «Страхова компанія «Реноме» станом на 31.12.2015 року та його фінансові результати, рух грошових коштів, рух власного капіталу за 2015 рік, що минув на зазначену дату, у відповідності до прийнятої концептуальної основи, якою є Міжнародні стандарти фінансової звітності, чинні на дату балансу.</w:t>
      </w:r>
    </w:p>
    <w:p w:rsidR="006B5D46" w:rsidRPr="00FF4643" w:rsidRDefault="006B5D46" w:rsidP="00960C40">
      <w:pPr>
        <w:jc w:val="both"/>
        <w:rPr>
          <w:lang w:val="uk-UA"/>
        </w:rPr>
      </w:pPr>
    </w:p>
    <w:p w:rsidR="006B5D46" w:rsidRPr="00FF4643" w:rsidRDefault="006B5D46" w:rsidP="00D95872">
      <w:pPr>
        <w:ind w:right="-1" w:firstLine="708"/>
        <w:jc w:val="both"/>
        <w:rPr>
          <w:b/>
          <w:lang w:val="uk-UA"/>
        </w:rPr>
      </w:pPr>
    </w:p>
    <w:p w:rsidR="006B5D46" w:rsidRPr="00FF4643" w:rsidRDefault="006B5D46" w:rsidP="00960C40">
      <w:pPr>
        <w:outlineLvl w:val="0"/>
        <w:rPr>
          <w:b/>
          <w:lang w:val="uk-UA"/>
        </w:rPr>
      </w:pPr>
    </w:p>
    <w:p w:rsidR="006B5D46" w:rsidRPr="00FF4643" w:rsidRDefault="006B5D46" w:rsidP="00960C40">
      <w:pPr>
        <w:widowControl w:val="0"/>
        <w:autoSpaceDE w:val="0"/>
        <w:autoSpaceDN w:val="0"/>
        <w:adjustRightInd w:val="0"/>
        <w:jc w:val="both"/>
        <w:outlineLvl w:val="0"/>
        <w:rPr>
          <w:b/>
          <w:i/>
          <w:sz w:val="28"/>
          <w:szCs w:val="28"/>
          <w:u w:val="single"/>
          <w:lang w:val="uk-UA"/>
        </w:rPr>
      </w:pPr>
      <w:r w:rsidRPr="00FF4643">
        <w:rPr>
          <w:b/>
          <w:sz w:val="28"/>
          <w:szCs w:val="28"/>
          <w:u w:val="single"/>
          <w:lang w:val="uk-UA"/>
        </w:rPr>
        <w:t xml:space="preserve">Розділ 2. </w:t>
      </w:r>
      <w:r w:rsidRPr="00FF4643">
        <w:rPr>
          <w:b/>
          <w:bCs/>
          <w:sz w:val="28"/>
          <w:szCs w:val="28"/>
          <w:u w:val="single"/>
          <w:lang w:val="uk-UA"/>
        </w:rPr>
        <w:t>Звіт щодо вимог інших законодавчих та нормативних актів</w:t>
      </w:r>
    </w:p>
    <w:p w:rsidR="006B5D46" w:rsidRPr="00FF4643" w:rsidRDefault="006B5D46" w:rsidP="00960C40">
      <w:pPr>
        <w:jc w:val="both"/>
        <w:rPr>
          <w:b/>
          <w:i/>
          <w:sz w:val="22"/>
          <w:szCs w:val="22"/>
          <w:lang w:val="uk-UA"/>
        </w:rPr>
      </w:pPr>
    </w:p>
    <w:p w:rsidR="006B5D46" w:rsidRPr="00FF4643" w:rsidRDefault="006B5D46" w:rsidP="00960C40">
      <w:pPr>
        <w:tabs>
          <w:tab w:val="left" w:pos="9355"/>
        </w:tabs>
        <w:autoSpaceDE w:val="0"/>
        <w:autoSpaceDN w:val="0"/>
        <w:adjustRightInd w:val="0"/>
        <w:spacing w:before="120"/>
        <w:ind w:right="-1" w:firstLine="750"/>
        <w:jc w:val="both"/>
        <w:rPr>
          <w:color w:val="000000"/>
          <w:lang w:val="uk-UA"/>
        </w:rPr>
      </w:pPr>
      <w:r w:rsidRPr="00FF4643">
        <w:rPr>
          <w:lang w:val="uk-UA"/>
        </w:rPr>
        <w:t xml:space="preserve">Іншою відповідальністю аудитора є </w:t>
      </w:r>
      <w:r w:rsidRPr="00FF4643">
        <w:rPr>
          <w:color w:val="000000"/>
          <w:lang w:val="uk-UA"/>
        </w:rPr>
        <w:t xml:space="preserve">висловлення думки про надання впевненості щодо річних звітних даних страховика </w:t>
      </w:r>
      <w:r w:rsidRPr="00F36987">
        <w:rPr>
          <w:lang w:val="uk-UA"/>
        </w:rPr>
        <w:t>ПрАТ «СК «Реноме»</w:t>
      </w:r>
      <w:r w:rsidRPr="00FF4643">
        <w:rPr>
          <w:color w:val="0000FF"/>
          <w:lang w:val="uk-UA"/>
        </w:rPr>
        <w:t xml:space="preserve"> </w:t>
      </w:r>
      <w:r w:rsidRPr="00FF4643">
        <w:rPr>
          <w:lang w:val="uk-UA"/>
        </w:rPr>
        <w:t>за 2015 рік відповідно до вимог</w:t>
      </w:r>
      <w:r w:rsidRPr="00FF4643">
        <w:rPr>
          <w:b/>
          <w:i/>
          <w:color w:val="000000"/>
          <w:lang w:val="uk-UA" w:eastAsia="uk-UA"/>
        </w:rPr>
        <w:t xml:space="preserve"> Порядку складання звітних даних страховиків, затвердженого розпорядженням Державної комісії з регулювання ринків фінансових послуг від 03.02.2004 № 39</w:t>
      </w:r>
    </w:p>
    <w:p w:rsidR="006B5D46" w:rsidRPr="00FF4643" w:rsidRDefault="006B5D46" w:rsidP="00960C40">
      <w:pPr>
        <w:jc w:val="both"/>
        <w:rPr>
          <w:u w:val="single"/>
          <w:lang w:val="uk-UA"/>
        </w:rPr>
      </w:pPr>
    </w:p>
    <w:p w:rsidR="006B5D46" w:rsidRPr="00FF4643" w:rsidRDefault="006B5D46" w:rsidP="00960C40">
      <w:pPr>
        <w:jc w:val="both"/>
        <w:rPr>
          <w:u w:val="single"/>
          <w:lang w:val="uk-UA"/>
        </w:rPr>
      </w:pPr>
      <w:r w:rsidRPr="00FF4643">
        <w:rPr>
          <w:u w:val="single"/>
          <w:lang w:val="uk-UA"/>
        </w:rPr>
        <w:t xml:space="preserve">Склад перевіреної звітності страховика за 2015 рік: </w:t>
      </w:r>
    </w:p>
    <w:p w:rsidR="006B5D46" w:rsidRPr="00FF4643" w:rsidRDefault="006B5D46" w:rsidP="00960C40">
      <w:pPr>
        <w:numPr>
          <w:ilvl w:val="0"/>
          <w:numId w:val="4"/>
        </w:numPr>
        <w:spacing w:before="120"/>
        <w:ind w:left="426"/>
        <w:jc w:val="both"/>
        <w:rPr>
          <w:lang w:val="uk-UA"/>
        </w:rPr>
      </w:pPr>
      <w:r w:rsidRPr="00FF4643">
        <w:rPr>
          <w:lang w:val="uk-UA"/>
        </w:rPr>
        <w:t>Загальні відомості про страховика;</w:t>
      </w:r>
    </w:p>
    <w:p w:rsidR="006B5D46" w:rsidRPr="00FF4643" w:rsidRDefault="006B5D46" w:rsidP="00960C40">
      <w:pPr>
        <w:numPr>
          <w:ilvl w:val="0"/>
          <w:numId w:val="4"/>
        </w:numPr>
        <w:ind w:left="426"/>
        <w:jc w:val="both"/>
        <w:rPr>
          <w:lang w:val="uk-UA"/>
        </w:rPr>
      </w:pPr>
      <w:r w:rsidRPr="00FF4643">
        <w:rPr>
          <w:lang w:val="uk-UA"/>
        </w:rPr>
        <w:t>Звіт про доходи та витрати страховика;</w:t>
      </w:r>
    </w:p>
    <w:p w:rsidR="006B5D46" w:rsidRPr="00FF4643" w:rsidRDefault="006B5D46" w:rsidP="00960C40">
      <w:pPr>
        <w:numPr>
          <w:ilvl w:val="0"/>
          <w:numId w:val="4"/>
        </w:numPr>
        <w:ind w:left="426"/>
        <w:jc w:val="both"/>
        <w:rPr>
          <w:lang w:val="uk-UA"/>
        </w:rPr>
      </w:pPr>
      <w:r w:rsidRPr="00FF4643">
        <w:rPr>
          <w:lang w:val="uk-UA"/>
        </w:rPr>
        <w:t>Звіт про страхові платежі та виплати за структурними підрозділами страховика;</w:t>
      </w:r>
    </w:p>
    <w:p w:rsidR="006B5D46" w:rsidRPr="00FF4643" w:rsidRDefault="006B5D46" w:rsidP="00960C40">
      <w:pPr>
        <w:numPr>
          <w:ilvl w:val="0"/>
          <w:numId w:val="4"/>
        </w:numPr>
        <w:ind w:left="426"/>
        <w:jc w:val="both"/>
        <w:rPr>
          <w:lang w:val="uk-UA"/>
        </w:rPr>
      </w:pPr>
      <w:r w:rsidRPr="00FF4643">
        <w:rPr>
          <w:lang w:val="uk-UA"/>
        </w:rPr>
        <w:lastRenderedPageBreak/>
        <w:t>Пояснювальна записка до звітних даних страховика, у т.ч.: показники діяльності з видів добровільного страхування, інших ніж страхування життя; показники діяльності з видів обов’язкового страхування; пояснення щодо операцій перестрахування; умови забезпечення платоспроможності;</w:t>
      </w:r>
    </w:p>
    <w:p w:rsidR="006B5D46" w:rsidRPr="00FF4643" w:rsidRDefault="006B5D46" w:rsidP="00960C40">
      <w:pPr>
        <w:numPr>
          <w:ilvl w:val="0"/>
          <w:numId w:val="4"/>
        </w:numPr>
        <w:ind w:left="426"/>
        <w:jc w:val="both"/>
        <w:rPr>
          <w:lang w:val="uk-UA"/>
        </w:rPr>
      </w:pPr>
      <w:r w:rsidRPr="00FF4643">
        <w:rPr>
          <w:lang w:val="uk-UA"/>
        </w:rPr>
        <w:t>Звіт про корпоративне управління страховика;</w:t>
      </w:r>
    </w:p>
    <w:p w:rsidR="006B5D46" w:rsidRPr="00FF4643" w:rsidRDefault="006B5D46" w:rsidP="00960C40">
      <w:pPr>
        <w:numPr>
          <w:ilvl w:val="0"/>
          <w:numId w:val="4"/>
        </w:numPr>
        <w:ind w:left="426"/>
        <w:jc w:val="both"/>
        <w:rPr>
          <w:lang w:val="uk-UA"/>
        </w:rPr>
      </w:pPr>
      <w:r w:rsidRPr="00FF4643">
        <w:rPr>
          <w:lang w:val="uk-UA"/>
        </w:rPr>
        <w:t>Декларація страховика про операції із страхування та перестрахування.</w:t>
      </w:r>
    </w:p>
    <w:p w:rsidR="006B5D46" w:rsidRPr="00FF4643" w:rsidRDefault="006B5D46" w:rsidP="00960C40">
      <w:pPr>
        <w:jc w:val="both"/>
        <w:rPr>
          <w:b/>
          <w:i/>
          <w:sz w:val="22"/>
          <w:szCs w:val="22"/>
          <w:lang w:val="uk-UA"/>
        </w:rPr>
      </w:pPr>
    </w:p>
    <w:p w:rsidR="006B5D46" w:rsidRPr="00FF4643" w:rsidRDefault="006B5D46" w:rsidP="00960C40">
      <w:pPr>
        <w:jc w:val="both"/>
        <w:rPr>
          <w:b/>
          <w:u w:val="single"/>
          <w:lang w:val="uk-UA"/>
        </w:rPr>
      </w:pPr>
      <w:r w:rsidRPr="00FF4643">
        <w:rPr>
          <w:u w:val="single"/>
          <w:lang w:val="uk-UA"/>
        </w:rPr>
        <w:t>Професійне судження аудитора щодо інформації, розкриття якої передбачено нормативними актами</w:t>
      </w:r>
      <w:r w:rsidRPr="00FF4643">
        <w:rPr>
          <w:b/>
          <w:i/>
          <w:u w:val="single"/>
          <w:lang w:val="uk-UA"/>
        </w:rPr>
        <w:t xml:space="preserve"> </w:t>
      </w:r>
      <w:r w:rsidRPr="00FF4643">
        <w:rPr>
          <w:bCs/>
          <w:u w:val="single"/>
          <w:lang w:val="uk-UA"/>
        </w:rPr>
        <w:t>Національної комісії що здійснює Державне регулювання у сфері ринків фінансових послуг</w:t>
      </w:r>
    </w:p>
    <w:p w:rsidR="006B5D46" w:rsidRPr="00FF4643" w:rsidRDefault="006B5D46" w:rsidP="00D82922">
      <w:pPr>
        <w:spacing w:before="100" w:beforeAutospacing="1" w:after="100" w:afterAutospacing="1"/>
        <w:jc w:val="both"/>
        <w:rPr>
          <w:lang w:val="uk-UA"/>
        </w:rPr>
      </w:pPr>
      <w:r w:rsidRPr="00FF4643">
        <w:rPr>
          <w:lang w:val="uk-UA"/>
        </w:rPr>
        <w:t xml:space="preserve">1) Припущення про безперервність діяльності розглядається аудитором у відповідності до МСА 570 «Безперервність» як таке, що </w:t>
      </w:r>
      <w:r w:rsidRPr="00F36987">
        <w:rPr>
          <w:lang w:val="uk-UA"/>
        </w:rPr>
        <w:t>ПрАТ «СК «Реноме»</w:t>
      </w:r>
      <w:r w:rsidRPr="00FF4643">
        <w:rPr>
          <w:color w:val="0000FF"/>
          <w:lang w:val="uk-UA"/>
        </w:rPr>
        <w:t xml:space="preserve"> </w:t>
      </w:r>
      <w:r w:rsidRPr="00FF4643">
        <w:rPr>
          <w:lang w:val="uk-UA"/>
        </w:rPr>
        <w:t xml:space="preserve">продовжуватиме свою діяльність у близькому майбутньому, не маючи ні наміру, ні потреби ліквідуватися або припиняти її. Але не вносячи додаткових застережень до цього звіту, звертаємо увагу на існування обставин суттєвої невизначеності щодо можливого майбутнього напрямку внутрішньої економічної політики в Україні, нормативно-правової бази та розвитку політичної ситуації, яка може поставити під сумнів здатність </w:t>
      </w:r>
      <w:r w:rsidRPr="00F36987">
        <w:rPr>
          <w:lang w:val="uk-UA"/>
        </w:rPr>
        <w:t>ПрАТ «СК «Реноме»</w:t>
      </w:r>
      <w:r w:rsidRPr="00FF4643">
        <w:rPr>
          <w:color w:val="0000FF"/>
          <w:lang w:val="uk-UA"/>
        </w:rPr>
        <w:t xml:space="preserve"> </w:t>
      </w:r>
      <w:r w:rsidRPr="00FF4643">
        <w:rPr>
          <w:lang w:val="uk-UA"/>
        </w:rPr>
        <w:t xml:space="preserve">безперервно продовжувати діяльність.  Ми не маємо змоги передбачити можливі майбутні зміни у цих умовах та їх вплив на фінансовий стан </w:t>
      </w:r>
      <w:r w:rsidRPr="00F36987">
        <w:rPr>
          <w:lang w:val="uk-UA"/>
        </w:rPr>
        <w:t>ПрАТ «СК «Реноме»;</w:t>
      </w:r>
    </w:p>
    <w:p w:rsidR="006B5D46" w:rsidRPr="00FF4643" w:rsidRDefault="006B5D46" w:rsidP="001C5234">
      <w:pPr>
        <w:autoSpaceDE w:val="0"/>
        <w:autoSpaceDN w:val="0"/>
        <w:adjustRightInd w:val="0"/>
        <w:jc w:val="both"/>
        <w:rPr>
          <w:lang w:val="uk-UA"/>
        </w:rPr>
      </w:pPr>
      <w:r w:rsidRPr="00FF4643">
        <w:rPr>
          <w:lang w:val="uk-UA"/>
        </w:rPr>
        <w:t xml:space="preserve">2) </w:t>
      </w:r>
      <w:r w:rsidRPr="00FF4643">
        <w:rPr>
          <w:spacing w:val="-4"/>
          <w:lang w:val="uk-UA"/>
        </w:rPr>
        <w:t xml:space="preserve">Концептуальну основу фінансової звітності </w:t>
      </w:r>
      <w:r w:rsidRPr="00F36987">
        <w:rPr>
          <w:lang w:val="uk-UA"/>
        </w:rPr>
        <w:t xml:space="preserve">ПрАТ «СК «Реноме» </w:t>
      </w:r>
      <w:r w:rsidRPr="00FF4643">
        <w:rPr>
          <w:spacing w:val="-4"/>
          <w:lang w:val="uk-UA"/>
        </w:rPr>
        <w:t xml:space="preserve">становлять </w:t>
      </w:r>
      <w:r w:rsidRPr="00FF4643">
        <w:rPr>
          <w:lang w:val="uk-UA"/>
        </w:rPr>
        <w:t>Міжнародні стандарти фінансової звітності, чинні протягом звітного періоду. Прий</w:t>
      </w:r>
      <w:r w:rsidR="001030EB">
        <w:rPr>
          <w:lang w:val="uk-UA"/>
        </w:rPr>
        <w:t>няті облікові політики в цілому</w:t>
      </w:r>
      <w:r w:rsidRPr="00FF4643">
        <w:rPr>
          <w:lang w:val="uk-UA"/>
        </w:rPr>
        <w:t xml:space="preserve"> відповідають вимогам законодавства про бухгалтерський облік та фінансову звітність та міжнародним стандартам фінансової звітності.</w:t>
      </w:r>
    </w:p>
    <w:p w:rsidR="006B5D46" w:rsidRPr="00FF4643" w:rsidRDefault="006B5D46" w:rsidP="00862DBC">
      <w:pPr>
        <w:widowControl w:val="0"/>
        <w:spacing w:before="120"/>
        <w:jc w:val="both"/>
        <w:rPr>
          <w:bCs/>
          <w:i/>
          <w:iCs/>
          <w:lang w:val="uk-UA"/>
        </w:rPr>
      </w:pPr>
      <w:r w:rsidRPr="00FF4643">
        <w:rPr>
          <w:lang w:val="uk-UA"/>
        </w:rPr>
        <w:t xml:space="preserve">3) </w:t>
      </w:r>
      <w:r w:rsidRPr="00FF4643">
        <w:rPr>
          <w:b/>
          <w:bCs/>
          <w:i/>
          <w:iCs/>
          <w:lang w:val="uk-UA"/>
        </w:rPr>
        <w:t>Статутний капітал</w:t>
      </w:r>
      <w:r w:rsidRPr="00FF4643">
        <w:rPr>
          <w:bCs/>
          <w:i/>
          <w:iCs/>
          <w:lang w:val="uk-UA"/>
        </w:rPr>
        <w:t xml:space="preserve"> </w:t>
      </w:r>
      <w:r w:rsidRPr="00F36987">
        <w:rPr>
          <w:lang w:val="uk-UA"/>
        </w:rPr>
        <w:t>ПрАТ «СК «Реноме»</w:t>
      </w:r>
      <w:r w:rsidRPr="00FF4643">
        <w:rPr>
          <w:color w:val="0000FF"/>
          <w:lang w:val="uk-UA"/>
        </w:rPr>
        <w:t xml:space="preserve"> </w:t>
      </w:r>
      <w:r w:rsidRPr="00FF4643">
        <w:rPr>
          <w:lang w:val="uk-UA"/>
        </w:rPr>
        <w:t xml:space="preserve">в розмірі 19 550 тис.грн. (745,50 тис.ЄВРО) за станом на звітну дату 31.12.2015 сформовано повністю згідно установчих документів та </w:t>
      </w:r>
      <w:r w:rsidRPr="00FF4643">
        <w:rPr>
          <w:bCs/>
          <w:iCs/>
          <w:lang w:val="uk-UA"/>
        </w:rPr>
        <w:t>сплачено в повному обсязі у встановлені терміни, у т.ч.</w:t>
      </w:r>
      <w:r w:rsidRPr="00FF4643">
        <w:rPr>
          <w:bCs/>
          <w:i/>
          <w:iCs/>
          <w:lang w:val="uk-UA"/>
        </w:rPr>
        <w:t xml:space="preserve"> </w:t>
      </w:r>
    </w:p>
    <w:p w:rsidR="006B5D46" w:rsidRPr="00FF4643" w:rsidRDefault="006B5D46" w:rsidP="00862DBC">
      <w:pPr>
        <w:numPr>
          <w:ilvl w:val="0"/>
          <w:numId w:val="6"/>
        </w:numPr>
        <w:tabs>
          <w:tab w:val="left" w:pos="2300"/>
        </w:tabs>
        <w:jc w:val="both"/>
        <w:rPr>
          <w:lang w:val="uk-UA"/>
        </w:rPr>
      </w:pPr>
      <w:r w:rsidRPr="00FF4643">
        <w:rPr>
          <w:lang w:val="uk-UA"/>
        </w:rPr>
        <w:t>за рахунок грошових внесків – 19 476 тис.грн.</w:t>
      </w:r>
    </w:p>
    <w:p w:rsidR="006B5D46" w:rsidRPr="00FF4643" w:rsidRDefault="006B5D46" w:rsidP="00862DBC">
      <w:pPr>
        <w:numPr>
          <w:ilvl w:val="0"/>
          <w:numId w:val="6"/>
        </w:numPr>
        <w:tabs>
          <w:tab w:val="left" w:pos="2300"/>
        </w:tabs>
        <w:jc w:val="both"/>
        <w:rPr>
          <w:lang w:val="uk-UA"/>
        </w:rPr>
      </w:pPr>
      <w:r w:rsidRPr="00FF4643">
        <w:rPr>
          <w:lang w:val="uk-UA"/>
        </w:rPr>
        <w:t>за рахунок майнового внеску – 74  тис.грн.</w:t>
      </w:r>
    </w:p>
    <w:p w:rsidR="006B5D46" w:rsidRPr="00FF4643" w:rsidRDefault="006B5D46" w:rsidP="00050170">
      <w:pPr>
        <w:spacing w:before="120"/>
        <w:jc w:val="both"/>
        <w:rPr>
          <w:lang w:val="uk-UA"/>
        </w:rPr>
      </w:pPr>
      <w:r w:rsidRPr="00FF4643">
        <w:rPr>
          <w:lang w:val="uk-UA"/>
        </w:rPr>
        <w:t xml:space="preserve">4) Згідно нормативним вимогам здійснення страхової діяльності, </w:t>
      </w:r>
      <w:r w:rsidRPr="001030EB">
        <w:rPr>
          <w:lang w:val="uk-UA"/>
        </w:rPr>
        <w:t xml:space="preserve">за даними </w:t>
      </w:r>
      <w:r w:rsidRPr="00F36987">
        <w:rPr>
          <w:lang w:val="uk-UA"/>
        </w:rPr>
        <w:t>ПрАТ «СК «Реноме»</w:t>
      </w:r>
      <w:r w:rsidRPr="00FF4643">
        <w:rPr>
          <w:lang w:val="uk-UA"/>
        </w:rPr>
        <w:t>,</w:t>
      </w:r>
      <w:r w:rsidRPr="00FF4643">
        <w:rPr>
          <w:i/>
          <w:lang w:val="uk-UA"/>
        </w:rPr>
        <w:t xml:space="preserve"> </w:t>
      </w:r>
      <w:r w:rsidRPr="00FF4643">
        <w:rPr>
          <w:b/>
          <w:i/>
          <w:lang w:val="uk-UA"/>
        </w:rPr>
        <w:t>вартість чистих активів</w:t>
      </w:r>
      <w:r w:rsidRPr="00FF4643">
        <w:rPr>
          <w:lang w:val="uk-UA"/>
        </w:rPr>
        <w:t xml:space="preserve"> страховика на останню звітну дату 31.12.2015 р. перевищує зареєстрований статутний капітал (</w:t>
      </w:r>
      <w:r w:rsidRPr="00FF4643">
        <w:rPr>
          <w:b/>
          <w:lang w:val="uk-UA"/>
        </w:rPr>
        <w:t>83 061 тис.грн. &gt; 19 550 тис. грн</w:t>
      </w:r>
      <w:r w:rsidRPr="00FF4643">
        <w:rPr>
          <w:lang w:val="uk-UA"/>
        </w:rPr>
        <w:t>.).</w:t>
      </w:r>
    </w:p>
    <w:p w:rsidR="006B5D46" w:rsidRPr="00FF4643" w:rsidRDefault="001030EB" w:rsidP="00A51092">
      <w:pPr>
        <w:spacing w:before="120"/>
        <w:jc w:val="both"/>
        <w:rPr>
          <w:lang w:val="uk-UA"/>
        </w:rPr>
      </w:pPr>
      <w:r>
        <w:rPr>
          <w:lang w:val="uk-UA"/>
        </w:rPr>
        <w:t>5</w:t>
      </w:r>
      <w:r w:rsidR="006B5D46" w:rsidRPr="00FF4643">
        <w:rPr>
          <w:lang w:val="uk-UA"/>
        </w:rPr>
        <w:t>) За станом на 31.12.2015 р. фактичний запас платоспроможності (нетто-активи) перевищує розрахунковий нормативний більше ніж на</w:t>
      </w:r>
      <w:r w:rsidR="006B5D46" w:rsidRPr="00FF4643">
        <w:rPr>
          <w:b/>
          <w:lang w:val="uk-UA"/>
        </w:rPr>
        <w:t xml:space="preserve"> </w:t>
      </w:r>
      <w:r w:rsidR="006B5D46" w:rsidRPr="00FF4643">
        <w:rPr>
          <w:lang w:val="uk-UA"/>
        </w:rPr>
        <w:t>25 відсотків (</w:t>
      </w:r>
      <w:r w:rsidR="006B5D46" w:rsidRPr="00FF4643">
        <w:rPr>
          <w:b/>
          <w:lang w:val="uk-UA"/>
        </w:rPr>
        <w:t>82 937 тис.грн. &gt; 164,3 тис. грн</w:t>
      </w:r>
      <w:r w:rsidR="006B5D46" w:rsidRPr="00FF4643">
        <w:rPr>
          <w:lang w:val="uk-UA"/>
        </w:rPr>
        <w:t xml:space="preserve">.). Розмір перевищення </w:t>
      </w:r>
      <w:r w:rsidR="006B5D46" w:rsidRPr="00FF4643">
        <w:rPr>
          <w:b/>
          <w:lang w:val="uk-UA"/>
        </w:rPr>
        <w:t xml:space="preserve">82 772,7 тис.грн. </w:t>
      </w:r>
      <w:r w:rsidR="006B5D46" w:rsidRPr="00FF4643">
        <w:rPr>
          <w:lang w:val="uk-UA"/>
        </w:rPr>
        <w:t>є</w:t>
      </w:r>
      <w:r w:rsidR="006B5D46" w:rsidRPr="00FF4643">
        <w:rPr>
          <w:b/>
          <w:lang w:val="uk-UA"/>
        </w:rPr>
        <w:t xml:space="preserve"> </w:t>
      </w:r>
      <w:r w:rsidR="006B5D46" w:rsidRPr="00FF4643">
        <w:rPr>
          <w:lang w:val="uk-UA"/>
        </w:rPr>
        <w:t>більшим 1 млн. ЄВРО за офіційним валютним курсом на дату розрахунку зазначених показників.</w:t>
      </w:r>
    </w:p>
    <w:p w:rsidR="006B5D46" w:rsidRPr="00FF4643" w:rsidRDefault="008947F1" w:rsidP="00A51092">
      <w:pPr>
        <w:spacing w:before="120"/>
        <w:jc w:val="both"/>
        <w:rPr>
          <w:lang w:val="uk-UA"/>
        </w:rPr>
      </w:pPr>
      <w:r>
        <w:rPr>
          <w:lang w:val="uk-UA"/>
        </w:rPr>
        <w:t>6</w:t>
      </w:r>
      <w:r w:rsidR="006B5D46" w:rsidRPr="00FF4643">
        <w:rPr>
          <w:lang w:val="uk-UA"/>
        </w:rPr>
        <w:t xml:space="preserve">) Фактичний запас платоспроможності страховика протягом звітного 2015 року на будь-яку дату перевищує розрахунковий нормативний запас платоспроможності. </w:t>
      </w:r>
    </w:p>
    <w:p w:rsidR="001030EB" w:rsidRDefault="006B5D46" w:rsidP="0042755C">
      <w:pPr>
        <w:spacing w:before="120"/>
        <w:jc w:val="both"/>
        <w:rPr>
          <w:i/>
          <w:lang w:val="uk-UA"/>
        </w:rPr>
      </w:pPr>
      <w:r w:rsidRPr="008947F1">
        <w:rPr>
          <w:i/>
          <w:u w:val="single"/>
          <w:lang w:val="uk-UA"/>
        </w:rPr>
        <w:t>Пояснювальний параграф.</w:t>
      </w:r>
      <w:r w:rsidRPr="008947F1">
        <w:rPr>
          <w:i/>
          <w:lang w:val="uk-UA"/>
        </w:rPr>
        <w:t xml:space="preserve"> </w:t>
      </w:r>
      <w:r w:rsidR="001030EB" w:rsidRPr="00FF4643">
        <w:rPr>
          <w:i/>
          <w:lang w:val="uk-UA"/>
        </w:rPr>
        <w:t xml:space="preserve">Розрахунок зазначених показників здійснено страховиком </w:t>
      </w:r>
      <w:r w:rsidR="001030EB">
        <w:rPr>
          <w:i/>
          <w:lang w:val="uk-UA"/>
        </w:rPr>
        <w:t>на підставі</w:t>
      </w:r>
      <w:r w:rsidR="001030EB" w:rsidRPr="00FF4643">
        <w:rPr>
          <w:i/>
          <w:lang w:val="uk-UA"/>
        </w:rPr>
        <w:t xml:space="preserve"> балансових даних. </w:t>
      </w:r>
      <w:r w:rsidR="001030EB">
        <w:rPr>
          <w:i/>
          <w:lang w:val="uk-UA"/>
        </w:rPr>
        <w:t>При проведені</w:t>
      </w:r>
      <w:r w:rsidR="001030EB" w:rsidRPr="00FF4643">
        <w:rPr>
          <w:i/>
          <w:lang w:val="uk-UA"/>
        </w:rPr>
        <w:t xml:space="preserve"> аудиту</w:t>
      </w:r>
      <w:r w:rsidR="001030EB" w:rsidRPr="00FF4643">
        <w:rPr>
          <w:b/>
          <w:i/>
          <w:lang w:val="uk-UA"/>
        </w:rPr>
        <w:t xml:space="preserve"> </w:t>
      </w:r>
      <w:r w:rsidR="001030EB" w:rsidRPr="00FF4643">
        <w:rPr>
          <w:i/>
          <w:lang w:val="uk-UA"/>
        </w:rPr>
        <w:t xml:space="preserve">встановлено </w:t>
      </w:r>
      <w:r w:rsidR="001030EB">
        <w:rPr>
          <w:i/>
          <w:lang w:val="uk-UA"/>
        </w:rPr>
        <w:t>помилкове відображення у фінансовій звітності</w:t>
      </w:r>
      <w:r w:rsidR="001030EB" w:rsidRPr="0045076C">
        <w:rPr>
          <w:i/>
          <w:lang w:val="uk-UA"/>
        </w:rPr>
        <w:t xml:space="preserve"> </w:t>
      </w:r>
      <w:r w:rsidR="001030EB" w:rsidRPr="00FF4643">
        <w:rPr>
          <w:i/>
          <w:lang w:val="uk-UA"/>
        </w:rPr>
        <w:t>вартості</w:t>
      </w:r>
      <w:r w:rsidR="001030EB">
        <w:rPr>
          <w:i/>
          <w:lang w:val="uk-UA"/>
        </w:rPr>
        <w:t xml:space="preserve"> довгострокових валютних</w:t>
      </w:r>
      <w:r w:rsidR="001030EB" w:rsidRPr="00FF4643">
        <w:rPr>
          <w:i/>
          <w:lang w:val="uk-UA"/>
        </w:rPr>
        <w:t xml:space="preserve"> фінансових зобов’язань</w:t>
      </w:r>
      <w:r w:rsidR="001030EB">
        <w:rPr>
          <w:i/>
          <w:lang w:val="uk-UA"/>
        </w:rPr>
        <w:t xml:space="preserve"> без перерахунку курса НБУ на кінець звітного періоду, хоча дані обліку свідчать про протилежне та відповідають вимогам МСФЗ.</w:t>
      </w:r>
      <w:r w:rsidR="001030EB" w:rsidRPr="0042755C">
        <w:rPr>
          <w:i/>
          <w:lang w:val="uk-UA"/>
        </w:rPr>
        <w:t xml:space="preserve"> </w:t>
      </w:r>
      <w:r w:rsidR="001030EB" w:rsidRPr="00FF4643">
        <w:rPr>
          <w:i/>
          <w:lang w:val="uk-UA"/>
        </w:rPr>
        <w:t xml:space="preserve">Дана невідповідність призвела до завищення вартості чистих активів, нетто-активів страховика. Проте вплив виявлених викривлень на фінансову звітність </w:t>
      </w:r>
      <w:r w:rsidR="001030EB" w:rsidRPr="0042755C">
        <w:rPr>
          <w:i/>
          <w:lang w:val="uk-UA"/>
        </w:rPr>
        <w:t>ПрАТ «СК «Реноме»</w:t>
      </w:r>
      <w:r w:rsidR="001030EB" w:rsidRPr="00FF4643">
        <w:rPr>
          <w:i/>
          <w:lang w:val="uk-UA"/>
        </w:rPr>
        <w:t xml:space="preserve"> в цілому має обмежений характер, фінансові нормативи, встановле</w:t>
      </w:r>
      <w:r w:rsidR="001030EB">
        <w:rPr>
          <w:i/>
          <w:lang w:val="uk-UA"/>
        </w:rPr>
        <w:t>ні Нацкомфінпослуг, виконуються. Платоспроможність страховика має дуже високий рівень, достатній для забезпечення виконання умов діяльності</w:t>
      </w:r>
      <w:r w:rsidR="008947F1">
        <w:rPr>
          <w:i/>
          <w:lang w:val="uk-UA"/>
        </w:rPr>
        <w:t>.</w:t>
      </w:r>
      <w:r w:rsidR="001030EB" w:rsidRPr="00FF4643">
        <w:rPr>
          <w:i/>
          <w:highlight w:val="yellow"/>
          <w:lang w:val="uk-UA"/>
        </w:rPr>
        <w:t xml:space="preserve"> </w:t>
      </w:r>
    </w:p>
    <w:p w:rsidR="006B5D46" w:rsidRPr="00FF4643" w:rsidRDefault="006B5D46" w:rsidP="00890830">
      <w:pPr>
        <w:jc w:val="both"/>
        <w:rPr>
          <w:lang w:val="uk-UA"/>
        </w:rPr>
      </w:pPr>
    </w:p>
    <w:p w:rsidR="006B5D46" w:rsidRPr="00FF4643" w:rsidRDefault="006B5D46" w:rsidP="00890830">
      <w:pPr>
        <w:jc w:val="both"/>
        <w:rPr>
          <w:lang w:val="uk-UA"/>
        </w:rPr>
      </w:pPr>
      <w:r w:rsidRPr="00FF4643">
        <w:rPr>
          <w:lang w:val="uk-UA"/>
        </w:rPr>
        <w:t xml:space="preserve">7) </w:t>
      </w:r>
      <w:r w:rsidRPr="00FF4643">
        <w:rPr>
          <w:b/>
          <w:i/>
          <w:lang w:val="uk-UA"/>
        </w:rPr>
        <w:t>Формування страхових резервів</w:t>
      </w:r>
      <w:r w:rsidRPr="00FF4643">
        <w:rPr>
          <w:lang w:val="uk-UA"/>
        </w:rPr>
        <w:t xml:space="preserve"> здійснюється </w:t>
      </w:r>
      <w:r w:rsidRPr="00F36987">
        <w:rPr>
          <w:lang w:val="uk-UA"/>
        </w:rPr>
        <w:t>ПрАТ «СК «Реноме»</w:t>
      </w:r>
      <w:r w:rsidRPr="00FF4643">
        <w:rPr>
          <w:color w:val="0000FF"/>
          <w:lang w:val="uk-UA"/>
        </w:rPr>
        <w:t xml:space="preserve"> </w:t>
      </w:r>
      <w:r w:rsidRPr="00FF4643">
        <w:rPr>
          <w:lang w:val="uk-UA"/>
        </w:rPr>
        <w:t xml:space="preserve">на підставі обліку договорів страхування і вимог страхувальників щодо виплати страхової суми або страхового відшкодування за видами страхування, який дозволяє страховику дотримуватися вимог  достатності формування страхових резервів. Частки перестраховиків у відповідних видах </w:t>
      </w:r>
      <w:r w:rsidRPr="00FF4643">
        <w:rPr>
          <w:lang w:val="uk-UA"/>
        </w:rPr>
        <w:lastRenderedPageBreak/>
        <w:t>страхових резервів за видами страхування визначаються одночасно з розрахунком страхових резервів.</w:t>
      </w:r>
    </w:p>
    <w:p w:rsidR="006B5D46" w:rsidRPr="00FF4643" w:rsidRDefault="006B5D46" w:rsidP="009A4A48">
      <w:pPr>
        <w:jc w:val="both"/>
        <w:rPr>
          <w:lang w:val="uk-UA"/>
        </w:rPr>
      </w:pPr>
    </w:p>
    <w:p w:rsidR="006B5D46" w:rsidRPr="00FF4643" w:rsidRDefault="006B5D46" w:rsidP="009A4A48">
      <w:pPr>
        <w:jc w:val="both"/>
        <w:rPr>
          <w:lang w:val="uk-UA"/>
        </w:rPr>
      </w:pPr>
      <w:r w:rsidRPr="00FF4643">
        <w:rPr>
          <w:lang w:val="uk-UA"/>
        </w:rPr>
        <w:t>8) Станом на 31.12.2015 р. згідно вимог п.15 МСФЗ 4 «Страхові контракти»</w:t>
      </w:r>
      <w:r w:rsidRPr="00FF4643">
        <w:rPr>
          <w:sz w:val="22"/>
          <w:szCs w:val="22"/>
          <w:lang w:val="uk-UA"/>
        </w:rPr>
        <w:t xml:space="preserve"> </w:t>
      </w:r>
      <w:r w:rsidRPr="00F36987">
        <w:rPr>
          <w:lang w:val="uk-UA"/>
        </w:rPr>
        <w:t>ПрАТ «СК «Реноме»</w:t>
      </w:r>
      <w:r w:rsidRPr="00FF4643">
        <w:rPr>
          <w:color w:val="0000FF"/>
          <w:lang w:val="uk-UA"/>
        </w:rPr>
        <w:t xml:space="preserve"> </w:t>
      </w:r>
      <w:r w:rsidRPr="00FF4643">
        <w:rPr>
          <w:lang w:val="uk-UA"/>
        </w:rPr>
        <w:t xml:space="preserve"> здійснила перевірку адекватності страхових зобов’язань на підставі аналізу адекватних даних, з урахуванням обґрунтованих припущень і обранням найкращої оцінки та з використанням загальноприйнятих актуарних методів. За результатами актуарної перевірки розмір визначених страхових резервів є достатнім для наступних страхових виплат.</w:t>
      </w:r>
    </w:p>
    <w:p w:rsidR="006B5D46" w:rsidRPr="00FF4643" w:rsidRDefault="006B5D46" w:rsidP="003655BC">
      <w:pPr>
        <w:jc w:val="both"/>
        <w:rPr>
          <w:lang w:val="uk-UA"/>
        </w:rPr>
      </w:pPr>
    </w:p>
    <w:p w:rsidR="006B5D46" w:rsidRPr="00FF4643" w:rsidRDefault="006B5D46" w:rsidP="003655BC">
      <w:pPr>
        <w:jc w:val="both"/>
        <w:rPr>
          <w:lang w:val="uk-UA"/>
        </w:rPr>
      </w:pPr>
      <w:r w:rsidRPr="00FF4643">
        <w:rPr>
          <w:lang w:val="uk-UA"/>
        </w:rPr>
        <w:t xml:space="preserve">9) </w:t>
      </w:r>
      <w:r w:rsidRPr="00FF4643">
        <w:rPr>
          <w:b/>
          <w:i/>
          <w:lang w:val="uk-UA"/>
        </w:rPr>
        <w:t>Прийнятні активи (366 тис.грн.)</w:t>
      </w:r>
      <w:r w:rsidRPr="00FF4643">
        <w:rPr>
          <w:lang w:val="uk-UA"/>
        </w:rPr>
        <w:t>, якими представлено страхові резерви, відповідають критеріям якості активів страховика та диверсифікованості, встановленими Положенням Держфінпослуг № 741 від 08.10.2009 р.</w:t>
      </w:r>
    </w:p>
    <w:p w:rsidR="006B5D46" w:rsidRPr="00FF4643" w:rsidRDefault="006B5D46" w:rsidP="00C72CC1">
      <w:pPr>
        <w:widowControl w:val="0"/>
        <w:ind w:firstLine="567"/>
        <w:jc w:val="both"/>
        <w:rPr>
          <w:lang w:val="uk-UA"/>
        </w:rPr>
      </w:pPr>
      <w:r w:rsidRPr="00FF4643">
        <w:rPr>
          <w:lang w:val="uk-UA"/>
        </w:rPr>
        <w:t>Технічні резерви представлені наступними категоріями активів:</w:t>
      </w:r>
    </w:p>
    <w:p w:rsidR="006B5D46" w:rsidRPr="00FF4643" w:rsidRDefault="006B5D46" w:rsidP="00C72CC1">
      <w:pPr>
        <w:numPr>
          <w:ilvl w:val="0"/>
          <w:numId w:val="5"/>
        </w:numPr>
        <w:ind w:left="426"/>
        <w:jc w:val="both"/>
        <w:rPr>
          <w:lang w:val="uk-UA"/>
        </w:rPr>
      </w:pPr>
      <w:r w:rsidRPr="00FF4643">
        <w:rPr>
          <w:lang w:val="uk-UA"/>
        </w:rPr>
        <w:t xml:space="preserve">грошові кошти на поточних рахунках – 95 тис. грн. </w:t>
      </w:r>
      <w:r w:rsidRPr="00FF4643">
        <w:rPr>
          <w:i/>
          <w:lang w:val="uk-UA"/>
        </w:rPr>
        <w:t>(26%)</w:t>
      </w:r>
      <w:r w:rsidRPr="00FF4643">
        <w:rPr>
          <w:lang w:val="uk-UA"/>
        </w:rPr>
        <w:t>;</w:t>
      </w:r>
    </w:p>
    <w:p w:rsidR="006B5D46" w:rsidRPr="00FF4643" w:rsidRDefault="006B5D46" w:rsidP="00C72CC1">
      <w:pPr>
        <w:numPr>
          <w:ilvl w:val="0"/>
          <w:numId w:val="5"/>
        </w:numPr>
        <w:ind w:left="426"/>
        <w:jc w:val="both"/>
        <w:rPr>
          <w:lang w:val="uk-UA"/>
        </w:rPr>
      </w:pPr>
      <w:r w:rsidRPr="00FF4643">
        <w:rPr>
          <w:lang w:val="uk-UA"/>
        </w:rPr>
        <w:t>банківські вклади ( депозити) – 191 тис. грн.</w:t>
      </w:r>
      <w:r w:rsidRPr="00FF4643">
        <w:rPr>
          <w:i/>
          <w:lang w:val="uk-UA"/>
        </w:rPr>
        <w:t xml:space="preserve"> (52%)</w:t>
      </w:r>
      <w:r w:rsidRPr="00FF4643">
        <w:rPr>
          <w:lang w:val="uk-UA"/>
        </w:rPr>
        <w:t>;</w:t>
      </w:r>
    </w:p>
    <w:p w:rsidR="006B5D46" w:rsidRPr="00FF4643" w:rsidRDefault="006B5D46" w:rsidP="00C72CC1">
      <w:pPr>
        <w:numPr>
          <w:ilvl w:val="0"/>
          <w:numId w:val="5"/>
        </w:numPr>
        <w:ind w:left="426"/>
        <w:jc w:val="both"/>
        <w:rPr>
          <w:lang w:val="uk-UA"/>
        </w:rPr>
      </w:pPr>
      <w:r w:rsidRPr="00FF4643">
        <w:rPr>
          <w:lang w:val="uk-UA"/>
        </w:rPr>
        <w:t xml:space="preserve">права вимоги до перестраховиків – 70 тис. грн. </w:t>
      </w:r>
      <w:r w:rsidRPr="00FF4643">
        <w:rPr>
          <w:i/>
          <w:lang w:val="uk-UA"/>
        </w:rPr>
        <w:t>(19%);</w:t>
      </w:r>
    </w:p>
    <w:p w:rsidR="006B5D46" w:rsidRPr="00FF4643" w:rsidRDefault="006B5D46" w:rsidP="00C72CC1">
      <w:pPr>
        <w:numPr>
          <w:ilvl w:val="0"/>
          <w:numId w:val="5"/>
        </w:numPr>
        <w:ind w:left="426"/>
        <w:jc w:val="both"/>
        <w:rPr>
          <w:lang w:val="uk-UA"/>
        </w:rPr>
      </w:pPr>
      <w:r w:rsidRPr="00FF4643">
        <w:rPr>
          <w:lang w:val="uk-UA"/>
        </w:rPr>
        <w:t>готівка в касі – 10 тис.грн.</w:t>
      </w:r>
      <w:r w:rsidRPr="00FF4643">
        <w:rPr>
          <w:i/>
          <w:lang w:val="uk-UA"/>
        </w:rPr>
        <w:t xml:space="preserve"> (3%)</w:t>
      </w:r>
    </w:p>
    <w:p w:rsidR="006B5D46" w:rsidRPr="00FF4643" w:rsidRDefault="006B5D46" w:rsidP="00097326">
      <w:pPr>
        <w:autoSpaceDE w:val="0"/>
        <w:autoSpaceDN w:val="0"/>
        <w:adjustRightInd w:val="0"/>
        <w:spacing w:before="120"/>
        <w:ind w:firstLine="750"/>
        <w:jc w:val="both"/>
        <w:rPr>
          <w:b/>
          <w:lang w:val="uk-UA"/>
        </w:rPr>
      </w:pPr>
      <w:r w:rsidRPr="00FF4643">
        <w:rPr>
          <w:b/>
          <w:i/>
          <w:lang w:val="uk-UA"/>
        </w:rPr>
        <w:t>Норматив достатності</w:t>
      </w:r>
      <w:r w:rsidRPr="00FF4643">
        <w:rPr>
          <w:i/>
          <w:lang w:val="uk-UA"/>
        </w:rPr>
        <w:t xml:space="preserve"> </w:t>
      </w:r>
      <w:r w:rsidRPr="00FF4643">
        <w:rPr>
          <w:b/>
          <w:i/>
          <w:lang w:val="uk-UA"/>
        </w:rPr>
        <w:t>активів</w:t>
      </w:r>
      <w:r w:rsidRPr="00FF4643">
        <w:rPr>
          <w:b/>
          <w:lang w:val="uk-UA"/>
        </w:rPr>
        <w:t xml:space="preserve"> </w:t>
      </w:r>
      <w:r w:rsidRPr="00FF4643">
        <w:rPr>
          <w:lang w:val="uk-UA"/>
        </w:rPr>
        <w:t>протягом звітного періоду має позитивне значення.</w:t>
      </w:r>
      <w:r w:rsidRPr="00FF4643">
        <w:rPr>
          <w:b/>
          <w:lang w:val="uk-UA"/>
        </w:rPr>
        <w:t xml:space="preserve"> </w:t>
      </w:r>
      <w:r w:rsidRPr="00FF4643">
        <w:rPr>
          <w:lang w:val="uk-UA"/>
        </w:rPr>
        <w:t>Оцінка прийнятних активів за справедливою вартістю здійснюється відповідно до вимог МСФЗ з урахуванням вимог Положення № 741.</w:t>
      </w:r>
    </w:p>
    <w:p w:rsidR="006B5D46" w:rsidRPr="00FF4643" w:rsidRDefault="006B5D46" w:rsidP="003655BC">
      <w:pPr>
        <w:jc w:val="both"/>
        <w:rPr>
          <w:lang w:val="uk-UA"/>
        </w:rPr>
      </w:pPr>
    </w:p>
    <w:p w:rsidR="006B5D46" w:rsidRPr="00FF4643" w:rsidRDefault="006B5D46" w:rsidP="003655BC">
      <w:pPr>
        <w:jc w:val="both"/>
        <w:rPr>
          <w:lang w:val="uk-UA"/>
        </w:rPr>
      </w:pPr>
      <w:r w:rsidRPr="00FF4643">
        <w:rPr>
          <w:lang w:val="uk-UA"/>
        </w:rPr>
        <w:t>10) Діяльність</w:t>
      </w:r>
      <w:r w:rsidRPr="00FF4643">
        <w:rPr>
          <w:spacing w:val="-1"/>
          <w:lang w:val="uk-UA"/>
        </w:rPr>
        <w:t xml:space="preserve"> </w:t>
      </w:r>
      <w:r w:rsidRPr="00F36987">
        <w:rPr>
          <w:lang w:val="uk-UA"/>
        </w:rPr>
        <w:t>ПрАТ «СК «Реноме»</w:t>
      </w:r>
      <w:r w:rsidRPr="00FF4643">
        <w:rPr>
          <w:color w:val="0000FF"/>
          <w:lang w:val="uk-UA"/>
        </w:rPr>
        <w:t xml:space="preserve"> </w:t>
      </w:r>
      <w:r w:rsidRPr="00FF4643">
        <w:rPr>
          <w:lang w:val="uk-UA"/>
        </w:rPr>
        <w:t xml:space="preserve">по освоєнню ринку страхування </w:t>
      </w:r>
      <w:r w:rsidRPr="00FF4643">
        <w:rPr>
          <w:spacing w:val="-1"/>
          <w:lang w:val="uk-UA"/>
        </w:rPr>
        <w:t xml:space="preserve">порівняно з </w:t>
      </w:r>
      <w:r w:rsidRPr="00FF4643">
        <w:rPr>
          <w:lang w:val="uk-UA"/>
        </w:rPr>
        <w:t>аналогічним періодом 2014 року залишилася на тому ж рівні.</w:t>
      </w:r>
      <w:r w:rsidRPr="00FF4643">
        <w:rPr>
          <w:bCs/>
          <w:iCs/>
          <w:lang w:val="uk-UA"/>
        </w:rPr>
        <w:t xml:space="preserve"> </w:t>
      </w:r>
      <w:r w:rsidRPr="00FF4643">
        <w:rPr>
          <w:lang w:val="uk-UA"/>
        </w:rPr>
        <w:t xml:space="preserve">Оцінка можливості виконання страховиком протягом звітного року прийнятих страхових та перестрахових зобов’язань висока. </w:t>
      </w:r>
      <w:r w:rsidRPr="00FF4643">
        <w:rPr>
          <w:bCs/>
          <w:iCs/>
          <w:lang w:val="uk-UA"/>
        </w:rPr>
        <w:t>Невиконаних страхових зобов’язань,</w:t>
      </w:r>
      <w:r w:rsidRPr="00FF4643">
        <w:rPr>
          <w:lang w:val="uk-UA"/>
        </w:rPr>
        <w:t xml:space="preserve"> заборгованості перед страхувальниками</w:t>
      </w:r>
      <w:r w:rsidRPr="00FF4643">
        <w:rPr>
          <w:bCs/>
          <w:iCs/>
          <w:lang w:val="uk-UA"/>
        </w:rPr>
        <w:t xml:space="preserve"> </w:t>
      </w:r>
      <w:r w:rsidRPr="00F36987">
        <w:rPr>
          <w:lang w:val="uk-UA"/>
        </w:rPr>
        <w:t>ПрАТ «СК «Реноме»</w:t>
      </w:r>
      <w:r w:rsidRPr="00FF4643">
        <w:rPr>
          <w:color w:val="0000FF"/>
          <w:lang w:val="uk-UA"/>
        </w:rPr>
        <w:t xml:space="preserve"> </w:t>
      </w:r>
      <w:r w:rsidRPr="00FF4643">
        <w:rPr>
          <w:bCs/>
          <w:iCs/>
          <w:lang w:val="uk-UA"/>
        </w:rPr>
        <w:t xml:space="preserve"> не має. </w:t>
      </w:r>
    </w:p>
    <w:p w:rsidR="006B5D46" w:rsidRPr="00FF4643" w:rsidRDefault="006B5D46" w:rsidP="003655BC">
      <w:pPr>
        <w:ind w:firstLine="708"/>
        <w:jc w:val="both"/>
        <w:rPr>
          <w:lang w:val="uk-UA"/>
        </w:rPr>
      </w:pPr>
      <w:r w:rsidRPr="00FF4643">
        <w:rPr>
          <w:b/>
          <w:i/>
          <w:lang w:val="uk-UA"/>
        </w:rPr>
        <w:t>Операції з перестрахування</w:t>
      </w:r>
      <w:r w:rsidRPr="00FF4643">
        <w:rPr>
          <w:b/>
          <w:lang w:val="uk-UA"/>
        </w:rPr>
        <w:t xml:space="preserve"> </w:t>
      </w:r>
      <w:r w:rsidRPr="00FF4643">
        <w:rPr>
          <w:lang w:val="uk-UA"/>
        </w:rPr>
        <w:t xml:space="preserve">проводяться </w:t>
      </w:r>
      <w:r w:rsidRPr="00F36987">
        <w:rPr>
          <w:lang w:val="uk-UA"/>
        </w:rPr>
        <w:t>ПрАТ «СК «Реноме»</w:t>
      </w:r>
      <w:r w:rsidRPr="00FF4643">
        <w:rPr>
          <w:color w:val="0000FF"/>
          <w:lang w:val="uk-UA"/>
        </w:rPr>
        <w:t xml:space="preserve"> </w:t>
      </w:r>
      <w:r w:rsidRPr="00FF4643">
        <w:rPr>
          <w:lang w:val="uk-UA"/>
        </w:rPr>
        <w:t xml:space="preserve">з метою забезпечення належного рівня платоспроможності та у відповідності до вимог чинного законодавства України. </w:t>
      </w:r>
      <w:r w:rsidRPr="00FF4643">
        <w:rPr>
          <w:bCs/>
          <w:iCs/>
          <w:lang w:val="uk-UA"/>
        </w:rPr>
        <w:t xml:space="preserve">Заборгованість </w:t>
      </w:r>
      <w:r w:rsidRPr="00F36987">
        <w:rPr>
          <w:lang w:val="uk-UA"/>
        </w:rPr>
        <w:t>ПрАТ «СК «Реноме»</w:t>
      </w:r>
      <w:r w:rsidRPr="00FF4643">
        <w:rPr>
          <w:color w:val="0000FF"/>
          <w:lang w:val="uk-UA"/>
        </w:rPr>
        <w:t xml:space="preserve"> </w:t>
      </w:r>
      <w:r w:rsidRPr="00FF4643">
        <w:rPr>
          <w:bCs/>
          <w:iCs/>
          <w:lang w:val="uk-UA"/>
        </w:rPr>
        <w:t xml:space="preserve">перед перестраховиками за договорами перестрахування на кінець звітного періоду має </w:t>
      </w:r>
      <w:r w:rsidRPr="00F36987">
        <w:rPr>
          <w:bCs/>
          <w:iCs/>
          <w:lang w:val="uk-UA"/>
        </w:rPr>
        <w:t>поточний характер.</w:t>
      </w:r>
    </w:p>
    <w:p w:rsidR="006B5D46" w:rsidRPr="00FF4643" w:rsidRDefault="006B5D46" w:rsidP="003655BC">
      <w:pPr>
        <w:ind w:firstLine="708"/>
        <w:jc w:val="both"/>
        <w:rPr>
          <w:spacing w:val="-1"/>
          <w:lang w:val="uk-UA"/>
        </w:rPr>
      </w:pPr>
      <w:r w:rsidRPr="00FF4643">
        <w:rPr>
          <w:bCs/>
          <w:iCs/>
          <w:lang w:val="uk-UA"/>
        </w:rPr>
        <w:t xml:space="preserve">Збиткових видів страхування </w:t>
      </w:r>
      <w:r w:rsidRPr="00F36987">
        <w:rPr>
          <w:lang w:val="uk-UA"/>
        </w:rPr>
        <w:t>ПрАТ «СК «Реноме»</w:t>
      </w:r>
      <w:r w:rsidRPr="00FF4643">
        <w:rPr>
          <w:color w:val="0000FF"/>
          <w:lang w:val="uk-UA"/>
        </w:rPr>
        <w:t xml:space="preserve"> </w:t>
      </w:r>
      <w:r w:rsidRPr="00FF4643">
        <w:rPr>
          <w:bCs/>
          <w:iCs/>
          <w:lang w:val="uk-UA"/>
        </w:rPr>
        <w:t>не має.</w:t>
      </w:r>
    </w:p>
    <w:p w:rsidR="006B5D46" w:rsidRPr="00FF4643" w:rsidRDefault="006B5D46" w:rsidP="003655BC">
      <w:pPr>
        <w:jc w:val="both"/>
        <w:rPr>
          <w:lang w:val="uk-UA"/>
        </w:rPr>
      </w:pPr>
    </w:p>
    <w:p w:rsidR="006B5D46" w:rsidRPr="00FF4643" w:rsidRDefault="006B5D46" w:rsidP="003655BC">
      <w:pPr>
        <w:jc w:val="both"/>
        <w:rPr>
          <w:lang w:val="uk-UA"/>
        </w:rPr>
      </w:pPr>
      <w:r w:rsidRPr="00FF4643">
        <w:rPr>
          <w:lang w:val="uk-UA"/>
        </w:rPr>
        <w:t>11) Операцій з активами протягом звітного року, що мали наслідком невиконання страховиком фінансових нормативів Нацкомфінпослуг, не встановлено.</w:t>
      </w:r>
    </w:p>
    <w:p w:rsidR="006B5D46" w:rsidRPr="00FF4643" w:rsidRDefault="006B5D46" w:rsidP="003655BC">
      <w:pPr>
        <w:jc w:val="both"/>
        <w:rPr>
          <w:lang w:val="uk-UA"/>
        </w:rPr>
      </w:pPr>
    </w:p>
    <w:p w:rsidR="006B5D46" w:rsidRPr="00FF4643" w:rsidRDefault="006B5D46" w:rsidP="009F34FD">
      <w:pPr>
        <w:jc w:val="both"/>
        <w:rPr>
          <w:lang w:val="uk-UA"/>
        </w:rPr>
      </w:pPr>
      <w:r w:rsidRPr="00FF4643">
        <w:rPr>
          <w:lang w:val="uk-UA"/>
        </w:rPr>
        <w:t xml:space="preserve">12) Система управління ризиками у </w:t>
      </w:r>
      <w:r w:rsidRPr="00F36987">
        <w:rPr>
          <w:lang w:val="uk-UA"/>
        </w:rPr>
        <w:t>ПрАТ «СК «Реноме»</w:t>
      </w:r>
      <w:r w:rsidRPr="00FF4643">
        <w:rPr>
          <w:color w:val="0000FF"/>
          <w:lang w:val="uk-UA"/>
        </w:rPr>
        <w:t xml:space="preserve"> </w:t>
      </w:r>
      <w:r w:rsidRPr="00FF4643">
        <w:rPr>
          <w:lang w:val="uk-UA"/>
        </w:rPr>
        <w:t xml:space="preserve">регулюється «Стратегією управління ризиками», затвердженою наказом Голови правління </w:t>
      </w:r>
      <w:r w:rsidRPr="00F36987">
        <w:rPr>
          <w:lang w:val="uk-UA"/>
        </w:rPr>
        <w:t>ПрАТ «СК «Реноме»</w:t>
      </w:r>
      <w:r w:rsidRPr="00FF4643">
        <w:rPr>
          <w:color w:val="0000FF"/>
          <w:lang w:val="uk-UA"/>
        </w:rPr>
        <w:t xml:space="preserve"> </w:t>
      </w:r>
      <w:r w:rsidRPr="00FF4643">
        <w:rPr>
          <w:lang w:val="uk-UA"/>
        </w:rPr>
        <w:t xml:space="preserve">від 25.06.2014р., «Модулями розрахунку кількісних характеристик ризиків», затвердженими Головою правління </w:t>
      </w:r>
      <w:r w:rsidRPr="00F36987">
        <w:rPr>
          <w:lang w:val="uk-UA"/>
        </w:rPr>
        <w:t>ПрАТ «СК «Реноме»</w:t>
      </w:r>
      <w:r w:rsidRPr="00FF4643">
        <w:rPr>
          <w:color w:val="0000FF"/>
          <w:lang w:val="uk-UA"/>
        </w:rPr>
        <w:t xml:space="preserve"> </w:t>
      </w:r>
      <w:r w:rsidRPr="00FF4643">
        <w:rPr>
          <w:lang w:val="uk-UA"/>
        </w:rPr>
        <w:t>25.06.2014р. та вимогами чинного законодавства України. Згідно результатів Звітів щодо функціонування системи управління ризиками, у 2015 році ПрАТ «СК «Реноме» не перевищувала допустимі межі ризиків.</w:t>
      </w:r>
    </w:p>
    <w:p w:rsidR="006B5D46" w:rsidRPr="00FF4643" w:rsidRDefault="006B5D46" w:rsidP="009F34FD">
      <w:pPr>
        <w:jc w:val="both"/>
        <w:rPr>
          <w:lang w:val="uk-UA"/>
        </w:rPr>
      </w:pPr>
    </w:p>
    <w:p w:rsidR="006B5D46" w:rsidRPr="00FF4643" w:rsidRDefault="006B5D46" w:rsidP="009F34FD">
      <w:pPr>
        <w:jc w:val="both"/>
        <w:rPr>
          <w:lang w:val="uk-UA"/>
        </w:rPr>
      </w:pPr>
      <w:r w:rsidRPr="00FF4643">
        <w:rPr>
          <w:lang w:val="uk-UA"/>
        </w:rPr>
        <w:t xml:space="preserve">13) </w:t>
      </w:r>
      <w:r w:rsidRPr="00FF4643">
        <w:rPr>
          <w:shd w:val="clear" w:color="auto" w:fill="FFFFFF"/>
          <w:lang w:val="uk-UA"/>
        </w:rPr>
        <w:t xml:space="preserve">За результатами виконаних процедур перевiрки </w:t>
      </w:r>
      <w:r w:rsidRPr="00FF4643">
        <w:rPr>
          <w:u w:val="single"/>
          <w:shd w:val="clear" w:color="auto" w:fill="FFFFFF"/>
          <w:lang w:val="uk-UA"/>
        </w:rPr>
        <w:t>стану корпоративного управлiння</w:t>
      </w:r>
      <w:r w:rsidRPr="00FF4643">
        <w:rPr>
          <w:shd w:val="clear" w:color="auto" w:fill="FFFFFF"/>
          <w:lang w:val="uk-UA"/>
        </w:rPr>
        <w:t xml:space="preserve"> аудитор дійшов висновку, що система внутрiшнього аудиту (контролю) спрямована на упередження, виявлення i виправлення суттєвих помилок, забезпечення захисту i збереження активiв, повноти i точностi облiкової документацiї та включає адмiнiстративний та бухгалтерськiй контроль. В </w:t>
      </w:r>
      <w:r w:rsidRPr="00F36987">
        <w:rPr>
          <w:lang w:val="uk-UA"/>
        </w:rPr>
        <w:t>ПрАТ «СК «Реноме»</w:t>
      </w:r>
      <w:r w:rsidRPr="00FF4643">
        <w:rPr>
          <w:color w:val="0000FF"/>
          <w:lang w:val="uk-UA"/>
        </w:rPr>
        <w:t xml:space="preserve"> </w:t>
      </w:r>
      <w:r w:rsidRPr="00FF4643">
        <w:rPr>
          <w:shd w:val="clear" w:color="auto" w:fill="FFFFFF"/>
          <w:lang w:val="uk-UA"/>
        </w:rPr>
        <w:t xml:space="preserve"> введена посада внутрiшнього аудитора та призначена відповідальна особа.</w:t>
      </w:r>
      <w:r w:rsidRPr="00FF4643">
        <w:rPr>
          <w:color w:val="5D5E5C"/>
          <w:shd w:val="clear" w:color="auto" w:fill="FFFFFF"/>
          <w:lang w:val="uk-UA"/>
        </w:rPr>
        <w:t xml:space="preserve"> </w:t>
      </w:r>
      <w:r w:rsidRPr="00FF4643">
        <w:rPr>
          <w:shd w:val="clear" w:color="auto" w:fill="FFFFFF"/>
          <w:lang w:val="uk-UA"/>
        </w:rPr>
        <w:t xml:space="preserve">Органи управління </w:t>
      </w:r>
      <w:r w:rsidRPr="00F36987">
        <w:rPr>
          <w:lang w:val="uk-UA"/>
        </w:rPr>
        <w:t>ПрАТ «СК «Реноме»</w:t>
      </w:r>
      <w:r w:rsidRPr="00FF4643">
        <w:rPr>
          <w:color w:val="0000FF"/>
          <w:lang w:val="uk-UA"/>
        </w:rPr>
        <w:t xml:space="preserve"> </w:t>
      </w:r>
      <w:r w:rsidRPr="00FF4643">
        <w:rPr>
          <w:shd w:val="clear" w:color="auto" w:fill="FFFFFF"/>
          <w:lang w:val="uk-UA"/>
        </w:rPr>
        <w:t xml:space="preserve">діють на підставі Статуту </w:t>
      </w:r>
      <w:r w:rsidRPr="00F36987">
        <w:rPr>
          <w:lang w:val="uk-UA"/>
        </w:rPr>
        <w:t>ПрАТ «СК «Реноме»</w:t>
      </w:r>
      <w:r w:rsidRPr="00F36987">
        <w:rPr>
          <w:shd w:val="clear" w:color="auto" w:fill="FFFFFF"/>
          <w:lang w:val="uk-UA"/>
        </w:rPr>
        <w:t>;</w:t>
      </w:r>
    </w:p>
    <w:p w:rsidR="006B5D46" w:rsidRPr="00FF4643" w:rsidRDefault="006B5D46" w:rsidP="00B24136">
      <w:pPr>
        <w:jc w:val="both"/>
        <w:outlineLvl w:val="0"/>
        <w:rPr>
          <w:b/>
          <w:highlight w:val="yellow"/>
          <w:lang w:val="uk-UA"/>
        </w:rPr>
      </w:pPr>
    </w:p>
    <w:p w:rsidR="006B5D46" w:rsidRPr="00FF4643" w:rsidRDefault="006B5D46" w:rsidP="00B24136">
      <w:pPr>
        <w:jc w:val="both"/>
        <w:outlineLvl w:val="0"/>
        <w:rPr>
          <w:b/>
          <w:lang w:val="uk-UA"/>
        </w:rPr>
      </w:pPr>
      <w:r w:rsidRPr="008947F1">
        <w:rPr>
          <w:b/>
          <w:lang w:val="uk-UA"/>
        </w:rPr>
        <w:t>ВИСНОВОК</w:t>
      </w:r>
    </w:p>
    <w:p w:rsidR="006B5D46" w:rsidRPr="00FF4643" w:rsidRDefault="006B5D46" w:rsidP="00B24136">
      <w:pPr>
        <w:spacing w:before="120"/>
        <w:ind w:firstLine="708"/>
        <w:jc w:val="both"/>
        <w:rPr>
          <w:lang w:val="uk-UA"/>
        </w:rPr>
      </w:pPr>
      <w:r w:rsidRPr="00FF4643">
        <w:rPr>
          <w:lang w:val="uk-UA"/>
        </w:rPr>
        <w:t xml:space="preserve">На нашу думку річні звітні дані страховика  за 2015  рік, </w:t>
      </w:r>
      <w:r w:rsidRPr="00FF4643">
        <w:rPr>
          <w:b/>
          <w:i/>
          <w:lang w:val="uk-UA"/>
        </w:rPr>
        <w:t>за винятком наведених невідповідностей,</w:t>
      </w:r>
      <w:r w:rsidRPr="00FF4643">
        <w:rPr>
          <w:lang w:val="uk-UA"/>
        </w:rPr>
        <w:t xml:space="preserve"> </w:t>
      </w:r>
      <w:r w:rsidRPr="00FF4643">
        <w:rPr>
          <w:color w:val="000000"/>
          <w:szCs w:val="20"/>
          <w:lang w:val="uk-UA"/>
        </w:rPr>
        <w:t>надають достовірну та повну інформацію про діяльність</w:t>
      </w:r>
      <w:r w:rsidRPr="00FF4643">
        <w:rPr>
          <w:lang w:val="uk-UA"/>
        </w:rPr>
        <w:t xml:space="preserve"> Приватного акціонерного товариства «Страхова компанія «Реноме», в усіх її складових частинах відповідають вимогам Порядку складання звітних даних страховиків, затвердженого розпорядженням Держфінпослуг від 03.02.2004 N 39 із змінами та доповненнями.</w:t>
      </w:r>
    </w:p>
    <w:p w:rsidR="006B5D46" w:rsidRPr="00FF4643" w:rsidRDefault="006B5D46" w:rsidP="00960C40">
      <w:pPr>
        <w:jc w:val="both"/>
        <w:rPr>
          <w:b/>
          <w:lang w:val="uk-UA"/>
        </w:rPr>
      </w:pPr>
    </w:p>
    <w:p w:rsidR="006B5D46" w:rsidRPr="00FF4643" w:rsidRDefault="006B5D46" w:rsidP="00960C40">
      <w:pPr>
        <w:jc w:val="both"/>
        <w:rPr>
          <w:b/>
          <w:lang w:val="uk-UA"/>
        </w:rPr>
      </w:pPr>
    </w:p>
    <w:p w:rsidR="006B5D46" w:rsidRPr="00FF4643" w:rsidRDefault="006B5D46" w:rsidP="009F34FD">
      <w:pPr>
        <w:rPr>
          <w:b/>
          <w:bCs/>
          <w:u w:val="single"/>
          <w:lang w:val="uk-UA"/>
        </w:rPr>
      </w:pPr>
      <w:r w:rsidRPr="00FF4643">
        <w:rPr>
          <w:b/>
          <w:u w:val="single"/>
          <w:lang w:val="uk-UA"/>
        </w:rPr>
        <w:t>Інші питання, розкриття яких передбаче</w:t>
      </w:r>
      <w:r w:rsidRPr="00F36987">
        <w:rPr>
          <w:b/>
          <w:u w:val="single"/>
          <w:lang w:val="uk-UA"/>
        </w:rPr>
        <w:t>но</w:t>
      </w:r>
      <w:r w:rsidRPr="00FF4643">
        <w:rPr>
          <w:b/>
          <w:u w:val="single"/>
          <w:lang w:val="uk-UA"/>
        </w:rPr>
        <w:t xml:space="preserve"> вимогами</w:t>
      </w:r>
      <w:r w:rsidRPr="00FF4643">
        <w:rPr>
          <w:b/>
          <w:i/>
          <w:u w:val="single"/>
          <w:lang w:val="uk-UA"/>
        </w:rPr>
        <w:t xml:space="preserve"> </w:t>
      </w:r>
      <w:r w:rsidRPr="00FF4643">
        <w:rPr>
          <w:b/>
          <w:u w:val="single"/>
          <w:lang w:val="uk-UA"/>
        </w:rPr>
        <w:t xml:space="preserve">Національної комісії з цінних паперів та фондового ринку, та які не знайшли відображення в попередніх розділах </w:t>
      </w:r>
    </w:p>
    <w:p w:rsidR="006B5D46" w:rsidRPr="00FF4643" w:rsidRDefault="006B5D46" w:rsidP="00960C40">
      <w:pPr>
        <w:jc w:val="both"/>
        <w:rPr>
          <w:lang w:val="uk-UA"/>
        </w:rPr>
      </w:pPr>
    </w:p>
    <w:p w:rsidR="006B5D46" w:rsidRPr="00F36987" w:rsidRDefault="006B5D46" w:rsidP="00300381">
      <w:pPr>
        <w:numPr>
          <w:ilvl w:val="0"/>
          <w:numId w:val="2"/>
        </w:numPr>
        <w:tabs>
          <w:tab w:val="clear" w:pos="357"/>
        </w:tabs>
        <w:spacing w:before="120"/>
        <w:ind w:left="426"/>
        <w:jc w:val="both"/>
        <w:outlineLvl w:val="0"/>
        <w:rPr>
          <w:lang w:val="uk-UA"/>
        </w:rPr>
      </w:pPr>
      <w:r w:rsidRPr="00F36987">
        <w:rPr>
          <w:color w:val="000000"/>
          <w:spacing w:val="-7"/>
          <w:u w:val="single"/>
          <w:lang w:val="uk-UA"/>
        </w:rPr>
        <w:t>Розмір статутного капіталу</w:t>
      </w:r>
      <w:r w:rsidRPr="00F36987">
        <w:rPr>
          <w:color w:val="000000"/>
          <w:spacing w:val="-7"/>
          <w:lang w:val="uk-UA"/>
        </w:rPr>
        <w:t xml:space="preserve"> в сумі </w:t>
      </w:r>
      <w:r w:rsidRPr="00F36987">
        <w:rPr>
          <w:b/>
          <w:color w:val="000000"/>
          <w:spacing w:val="-7"/>
          <w:lang w:val="uk-UA"/>
        </w:rPr>
        <w:t>19 550 тис.грн.</w:t>
      </w:r>
      <w:r w:rsidRPr="00F36987">
        <w:rPr>
          <w:color w:val="000000"/>
          <w:spacing w:val="-7"/>
          <w:lang w:val="uk-UA"/>
        </w:rPr>
        <w:t>, що відображений у фінансовій звітності</w:t>
      </w:r>
      <w:r w:rsidRPr="00F36987">
        <w:rPr>
          <w:color w:val="000000"/>
          <w:spacing w:val="-8"/>
          <w:lang w:val="uk-UA"/>
        </w:rPr>
        <w:t xml:space="preserve"> за станом на 31.12.2015</w:t>
      </w:r>
      <w:r w:rsidRPr="00F36987">
        <w:rPr>
          <w:color w:val="000000"/>
          <w:spacing w:val="-7"/>
          <w:lang w:val="uk-UA"/>
        </w:rPr>
        <w:t xml:space="preserve">, відповідає </w:t>
      </w:r>
      <w:r w:rsidRPr="00F36987">
        <w:rPr>
          <w:color w:val="000000"/>
          <w:spacing w:val="-8"/>
          <w:lang w:val="uk-UA"/>
        </w:rPr>
        <w:t xml:space="preserve">даним установчих документів. </w:t>
      </w:r>
      <w:r w:rsidRPr="00F36987">
        <w:rPr>
          <w:lang w:val="uk-UA"/>
        </w:rPr>
        <w:t>Статутний капітал поділено на 391 000 штук простих іменних акцій номінальною вартістю 50 грн. кожна. Акцій на пред’явника немає, привілейованих акцій немає. Емісія акцій ПрАТ «СК «Реноме»</w:t>
      </w:r>
      <w:r w:rsidRPr="00F36987">
        <w:rPr>
          <w:color w:val="0000FF"/>
          <w:lang w:val="uk-UA"/>
        </w:rPr>
        <w:t xml:space="preserve"> </w:t>
      </w:r>
      <w:r w:rsidRPr="00F36987">
        <w:rPr>
          <w:lang w:val="uk-UA"/>
        </w:rPr>
        <w:t xml:space="preserve">на загальну суму </w:t>
      </w:r>
      <w:r w:rsidRPr="00F36987">
        <w:rPr>
          <w:b/>
          <w:color w:val="000000"/>
          <w:spacing w:val="-7"/>
          <w:lang w:val="uk-UA"/>
        </w:rPr>
        <w:t>19 550 тис.грн.</w:t>
      </w:r>
      <w:r w:rsidRPr="00F36987">
        <w:rPr>
          <w:lang w:val="uk-UA"/>
        </w:rPr>
        <w:t xml:space="preserve"> зареєстрована ДКЦПФР 25.04.2006, свідоцтво № 191/1/06. У зв'язку з переходом на бездокументарну форму випуску акцій, 04.11.2010 р. НКЦПФР видано нове свідоцтво про реєстрацію випуску акцій, реєстраційний №</w:t>
      </w:r>
      <w:r w:rsidR="00F36987" w:rsidRPr="00F36987">
        <w:rPr>
          <w:lang w:val="uk-UA"/>
        </w:rPr>
        <w:t xml:space="preserve"> </w:t>
      </w:r>
      <w:r w:rsidRPr="00F36987">
        <w:rPr>
          <w:lang w:val="uk-UA"/>
        </w:rPr>
        <w:t>1011/1/10.</w:t>
      </w:r>
    </w:p>
    <w:p w:rsidR="006B5D46" w:rsidRPr="00FF4643" w:rsidRDefault="006B5D46" w:rsidP="00960C40">
      <w:pPr>
        <w:numPr>
          <w:ilvl w:val="0"/>
          <w:numId w:val="2"/>
        </w:numPr>
        <w:tabs>
          <w:tab w:val="clear" w:pos="357"/>
        </w:tabs>
        <w:spacing w:before="120"/>
        <w:ind w:left="426"/>
        <w:jc w:val="both"/>
        <w:outlineLvl w:val="0"/>
        <w:rPr>
          <w:lang w:val="uk-UA"/>
        </w:rPr>
      </w:pPr>
      <w:r w:rsidRPr="00FF4643">
        <w:rPr>
          <w:u w:val="single"/>
          <w:lang w:val="uk-UA"/>
        </w:rPr>
        <w:t>Суттєвих невідповідностей</w:t>
      </w:r>
      <w:r w:rsidRPr="00FF4643">
        <w:rPr>
          <w:lang w:val="uk-UA"/>
        </w:rPr>
        <w:t xml:space="preserve"> між фінансовою звітністю, що підлягала аудиту, та іншою інформацією, що розкривається страховиком-емітентом цінних паперів та подається до відповідних користувачів разом з фінансовою звітністю, не встановлено.</w:t>
      </w:r>
    </w:p>
    <w:p w:rsidR="006B5D46" w:rsidRPr="00FF4643" w:rsidRDefault="006B5D46" w:rsidP="00960C40">
      <w:pPr>
        <w:numPr>
          <w:ilvl w:val="0"/>
          <w:numId w:val="2"/>
        </w:numPr>
        <w:tabs>
          <w:tab w:val="clear" w:pos="357"/>
        </w:tabs>
        <w:spacing w:before="120"/>
        <w:ind w:left="426"/>
        <w:jc w:val="both"/>
        <w:outlineLvl w:val="0"/>
        <w:rPr>
          <w:lang w:val="uk-UA"/>
        </w:rPr>
      </w:pPr>
      <w:r w:rsidRPr="00FF4643">
        <w:rPr>
          <w:u w:val="single"/>
          <w:shd w:val="clear" w:color="auto" w:fill="FFFFFF"/>
          <w:lang w:val="uk-UA"/>
        </w:rPr>
        <w:t>Значних правочинiв</w:t>
      </w:r>
      <w:r w:rsidRPr="00FF4643">
        <w:rPr>
          <w:shd w:val="clear" w:color="auto" w:fill="FFFFFF"/>
          <w:lang w:val="uk-UA"/>
        </w:rPr>
        <w:t xml:space="preserve">  в звiтному 2015 роцi </w:t>
      </w:r>
      <w:r w:rsidRPr="00F36987">
        <w:rPr>
          <w:lang w:val="uk-UA"/>
        </w:rPr>
        <w:t>ПрАТ «СК «Реноме»</w:t>
      </w:r>
      <w:r w:rsidRPr="00FF4643">
        <w:rPr>
          <w:color w:val="0000FF"/>
          <w:lang w:val="uk-UA"/>
        </w:rPr>
        <w:t xml:space="preserve"> </w:t>
      </w:r>
      <w:r w:rsidRPr="00FF4643">
        <w:rPr>
          <w:shd w:val="clear" w:color="auto" w:fill="FFFFFF"/>
          <w:lang w:val="uk-UA"/>
        </w:rPr>
        <w:t>не здійснювало</w:t>
      </w:r>
      <w:r w:rsidRPr="00FF4643">
        <w:rPr>
          <w:lang w:val="uk-UA"/>
        </w:rPr>
        <w:t>;</w:t>
      </w:r>
    </w:p>
    <w:p w:rsidR="006B5D46" w:rsidRPr="00FF4643" w:rsidRDefault="006B5D46" w:rsidP="00960C40">
      <w:pPr>
        <w:numPr>
          <w:ilvl w:val="0"/>
          <w:numId w:val="2"/>
        </w:numPr>
        <w:tabs>
          <w:tab w:val="clear" w:pos="357"/>
        </w:tabs>
        <w:spacing w:before="120"/>
        <w:ind w:left="426"/>
        <w:jc w:val="both"/>
        <w:outlineLvl w:val="0"/>
        <w:rPr>
          <w:lang w:val="uk-UA"/>
        </w:rPr>
      </w:pPr>
      <w:r w:rsidRPr="00FF4643">
        <w:rPr>
          <w:shd w:val="clear" w:color="auto" w:fill="FFFFFF"/>
          <w:lang w:val="uk-UA"/>
        </w:rPr>
        <w:t xml:space="preserve">При проведеннi </w:t>
      </w:r>
      <w:r w:rsidRPr="00FF4643">
        <w:rPr>
          <w:u w:val="single"/>
          <w:shd w:val="clear" w:color="auto" w:fill="FFFFFF"/>
          <w:lang w:val="uk-UA"/>
        </w:rPr>
        <w:t>iдентифiкацiї та оцiнки аудиторських ризикiв</w:t>
      </w:r>
      <w:r w:rsidRPr="00FF4643">
        <w:rPr>
          <w:shd w:val="clear" w:color="auto" w:fill="FFFFFF"/>
          <w:lang w:val="uk-UA"/>
        </w:rPr>
        <w:t xml:space="preserve"> суттєвого викривлення фiнансової звiтностi внаслiдок шахрайства (МСА 240 "Вiдповiдальнiсть аудитора, що стосується шахрайства, при аудитi фiнансової звiтностi") не виявлено обставин, що свiдчать про можливiсть шахрайства;</w:t>
      </w:r>
    </w:p>
    <w:p w:rsidR="006B5D46" w:rsidRPr="00FF4643" w:rsidRDefault="006B5D46" w:rsidP="00960C40">
      <w:pPr>
        <w:numPr>
          <w:ilvl w:val="0"/>
          <w:numId w:val="2"/>
        </w:numPr>
        <w:tabs>
          <w:tab w:val="clear" w:pos="357"/>
        </w:tabs>
        <w:spacing w:before="120"/>
        <w:ind w:left="426"/>
        <w:jc w:val="both"/>
        <w:outlineLvl w:val="0"/>
        <w:rPr>
          <w:lang w:val="uk-UA"/>
        </w:rPr>
      </w:pPr>
      <w:r w:rsidRPr="00FF4643">
        <w:rPr>
          <w:lang w:val="uk-UA"/>
        </w:rPr>
        <w:t>При здійснені аудиту за 2015 рік не виявлено дій, що могли б вплинути на фінансово-господарський стан емітента та призвести до значної зміни вартості його цінних паперів;</w:t>
      </w:r>
    </w:p>
    <w:p w:rsidR="006B5D46" w:rsidRDefault="006B5D46" w:rsidP="00960C40">
      <w:pPr>
        <w:numPr>
          <w:ilvl w:val="0"/>
          <w:numId w:val="2"/>
        </w:numPr>
        <w:tabs>
          <w:tab w:val="clear" w:pos="357"/>
        </w:tabs>
        <w:spacing w:before="120"/>
        <w:ind w:left="426"/>
        <w:jc w:val="both"/>
        <w:outlineLvl w:val="0"/>
        <w:rPr>
          <w:lang w:val="uk-UA"/>
        </w:rPr>
      </w:pPr>
      <w:r w:rsidRPr="00FF4643">
        <w:rPr>
          <w:lang w:val="uk-UA"/>
        </w:rPr>
        <w:t>Подій після дати балансу, які не відображені у фінансовій звітності, проте можуть мати суттєвий вплив на фінансовий стан, на дату підписання ауд</w:t>
      </w:r>
      <w:r w:rsidR="008947F1">
        <w:rPr>
          <w:lang w:val="uk-UA"/>
        </w:rPr>
        <w:t>иторського звіту не встановлено;</w:t>
      </w:r>
    </w:p>
    <w:p w:rsidR="008947F1" w:rsidRPr="008947F1" w:rsidRDefault="008947F1" w:rsidP="008947F1">
      <w:pPr>
        <w:widowControl w:val="0"/>
        <w:numPr>
          <w:ilvl w:val="0"/>
          <w:numId w:val="2"/>
        </w:numPr>
        <w:autoSpaceDE w:val="0"/>
        <w:autoSpaceDN w:val="0"/>
        <w:adjustRightInd w:val="0"/>
        <w:spacing w:before="120"/>
        <w:ind w:left="426"/>
        <w:jc w:val="both"/>
        <w:outlineLvl w:val="0"/>
        <w:rPr>
          <w:rFonts w:eastAsia="Times New Roman"/>
          <w:lang w:val="uk-UA"/>
        </w:rPr>
      </w:pPr>
      <w:r w:rsidRPr="008947F1">
        <w:rPr>
          <w:rFonts w:eastAsia="Times New Roman"/>
          <w:lang w:val="uk-UA"/>
        </w:rPr>
        <w:t xml:space="preserve">перевірені </w:t>
      </w:r>
      <w:r w:rsidRPr="008947F1">
        <w:rPr>
          <w:lang w:val="uk-UA"/>
        </w:rPr>
        <w:t>в процесі виконання процедур аудиту фінансової звітності</w:t>
      </w:r>
      <w:r w:rsidRPr="008947F1">
        <w:rPr>
          <w:rFonts w:eastAsia="Times New Roman"/>
          <w:lang w:val="uk-UA"/>
        </w:rPr>
        <w:t xml:space="preserve"> документи не </w:t>
      </w:r>
      <w:r w:rsidRPr="008947F1">
        <w:rPr>
          <w:rFonts w:eastAsia="Times New Roman"/>
          <w:b/>
          <w:lang w:val="uk-UA"/>
        </w:rPr>
        <w:t>містять</w:t>
      </w:r>
      <w:r w:rsidRPr="008947F1">
        <w:rPr>
          <w:b/>
          <w:lang w:val="uk-UA"/>
        </w:rPr>
        <w:t xml:space="preserve"> ознак існування відносин і операцій з пов’язаними сторонами (зокрема</w:t>
      </w:r>
      <w:r w:rsidRPr="008947F1">
        <w:rPr>
          <w:lang w:val="uk-UA"/>
        </w:rPr>
        <w:t xml:space="preserve"> афілійованими особами), що виходять за межі нормальної діяльності;</w:t>
      </w:r>
    </w:p>
    <w:p w:rsidR="008947F1" w:rsidRPr="00FF4643" w:rsidRDefault="008947F1" w:rsidP="008947F1">
      <w:pPr>
        <w:spacing w:before="120"/>
        <w:ind w:left="66"/>
        <w:jc w:val="both"/>
        <w:outlineLvl w:val="0"/>
        <w:rPr>
          <w:lang w:val="uk-UA"/>
        </w:rPr>
      </w:pPr>
    </w:p>
    <w:p w:rsidR="006B5D46" w:rsidRPr="00FF4643" w:rsidRDefault="006B5D46" w:rsidP="00960C40">
      <w:pPr>
        <w:tabs>
          <w:tab w:val="left" w:pos="1102"/>
        </w:tabs>
        <w:jc w:val="both"/>
        <w:rPr>
          <w:b/>
          <w:lang w:val="uk-UA"/>
        </w:rPr>
      </w:pPr>
    </w:p>
    <w:p w:rsidR="006B5D46" w:rsidRPr="00FF4643" w:rsidRDefault="006B5D46" w:rsidP="00960C40">
      <w:pPr>
        <w:tabs>
          <w:tab w:val="left" w:pos="1102"/>
        </w:tabs>
        <w:jc w:val="both"/>
        <w:rPr>
          <w:b/>
          <w:lang w:val="uk-UA"/>
        </w:rPr>
      </w:pPr>
    </w:p>
    <w:p w:rsidR="006B5D46" w:rsidRPr="00FF4643" w:rsidRDefault="006B5D46" w:rsidP="00960C40">
      <w:pPr>
        <w:tabs>
          <w:tab w:val="left" w:pos="1102"/>
        </w:tabs>
        <w:jc w:val="both"/>
        <w:rPr>
          <w:b/>
          <w:sz w:val="28"/>
          <w:szCs w:val="28"/>
          <w:u w:val="single"/>
          <w:lang w:val="uk-UA"/>
        </w:rPr>
      </w:pPr>
      <w:r w:rsidRPr="00FF4643">
        <w:rPr>
          <w:b/>
          <w:sz w:val="28"/>
          <w:szCs w:val="28"/>
          <w:u w:val="single"/>
          <w:lang w:val="uk-UA"/>
        </w:rPr>
        <w:t>Розділ 3. Інші елементи</w:t>
      </w:r>
    </w:p>
    <w:p w:rsidR="008947F1" w:rsidRDefault="008947F1" w:rsidP="008947F1">
      <w:pPr>
        <w:jc w:val="both"/>
        <w:rPr>
          <w:b/>
          <w:i/>
          <w:lang w:val="uk-UA"/>
        </w:rPr>
      </w:pPr>
    </w:p>
    <w:p w:rsidR="006B5D46" w:rsidRPr="00FF4643" w:rsidRDefault="006B5D46" w:rsidP="008947F1">
      <w:pPr>
        <w:jc w:val="both"/>
        <w:rPr>
          <w:b/>
          <w:i/>
          <w:lang w:val="uk-UA"/>
        </w:rPr>
      </w:pPr>
      <w:r w:rsidRPr="00FF4643">
        <w:rPr>
          <w:b/>
          <w:i/>
          <w:lang w:val="uk-UA"/>
        </w:rPr>
        <w:t>Основні відомості про аудиторську фірму</w:t>
      </w:r>
    </w:p>
    <w:p w:rsidR="006B5D46" w:rsidRPr="00FF4643" w:rsidRDefault="006B5D46" w:rsidP="00300381">
      <w:pPr>
        <w:numPr>
          <w:ilvl w:val="0"/>
          <w:numId w:val="1"/>
        </w:numPr>
        <w:spacing w:before="120"/>
        <w:jc w:val="both"/>
        <w:rPr>
          <w:lang w:val="uk-UA"/>
        </w:rPr>
      </w:pPr>
      <w:r w:rsidRPr="00FF4643">
        <w:rPr>
          <w:lang w:val="uk-UA"/>
        </w:rPr>
        <w:t>повне найменування юридичної особи – Приватна аудиторська фірма «Олександр і К»</w:t>
      </w:r>
    </w:p>
    <w:p w:rsidR="006B5D46" w:rsidRPr="00FF4643" w:rsidRDefault="006B5D46" w:rsidP="00960C40">
      <w:pPr>
        <w:numPr>
          <w:ilvl w:val="0"/>
          <w:numId w:val="1"/>
        </w:numPr>
        <w:jc w:val="both"/>
        <w:rPr>
          <w:lang w:val="uk-UA"/>
        </w:rPr>
      </w:pPr>
      <w:r w:rsidRPr="00FF4643">
        <w:rPr>
          <w:lang w:val="uk-UA"/>
        </w:rPr>
        <w:t>код ЄДРПОУ – 30525809;</w:t>
      </w:r>
    </w:p>
    <w:p w:rsidR="006B5D46" w:rsidRPr="00FF4643" w:rsidRDefault="006B5D46" w:rsidP="00960C40">
      <w:pPr>
        <w:numPr>
          <w:ilvl w:val="0"/>
          <w:numId w:val="1"/>
        </w:numPr>
        <w:jc w:val="both"/>
        <w:rPr>
          <w:lang w:val="uk-UA"/>
        </w:rPr>
      </w:pPr>
      <w:r w:rsidRPr="00FF4643">
        <w:rPr>
          <w:lang w:val="uk-UA"/>
        </w:rPr>
        <w:t>Свідоцтво Аудиторської палати України про внесення до Реєстру суб’єктів аудиторської діяльності № 2150 від 30.03.2001 р., строком дії до 24.12.2020 р.;</w:t>
      </w:r>
    </w:p>
    <w:p w:rsidR="006B5D46" w:rsidRPr="00FF4643" w:rsidRDefault="006B5D46" w:rsidP="00960C40">
      <w:pPr>
        <w:numPr>
          <w:ilvl w:val="0"/>
          <w:numId w:val="1"/>
        </w:numPr>
        <w:jc w:val="both"/>
        <w:rPr>
          <w:lang w:val="uk-UA"/>
        </w:rPr>
      </w:pPr>
      <w:r w:rsidRPr="00FF4643">
        <w:rPr>
          <w:lang w:val="uk-UA"/>
        </w:rPr>
        <w:t>Свідоцтво про відповідність системи  контролю якості № 0314 від 20.12.2012;</w:t>
      </w:r>
    </w:p>
    <w:p w:rsidR="006B5D46" w:rsidRPr="00FF4643" w:rsidRDefault="006B5D46" w:rsidP="00960C40">
      <w:pPr>
        <w:numPr>
          <w:ilvl w:val="0"/>
          <w:numId w:val="1"/>
        </w:numPr>
        <w:jc w:val="both"/>
        <w:rPr>
          <w:lang w:val="uk-UA"/>
        </w:rPr>
      </w:pPr>
      <w:r w:rsidRPr="00FF4643">
        <w:rPr>
          <w:lang w:val="uk-UA"/>
        </w:rPr>
        <w:t>Свідоцтво Нацкомфінпослуг про включення до реєстру аудиторських фірм та аудиторів, які можуть проводити аудиторські перевірки фінансових установ –  № 0021 від 28.05.2013, строком дії до 24.12.2020 р.</w:t>
      </w:r>
    </w:p>
    <w:p w:rsidR="006B5D46" w:rsidRPr="00FF4643" w:rsidRDefault="006B5D46" w:rsidP="00960C40">
      <w:pPr>
        <w:numPr>
          <w:ilvl w:val="0"/>
          <w:numId w:val="1"/>
        </w:numPr>
        <w:jc w:val="both"/>
        <w:rPr>
          <w:lang w:val="uk-UA"/>
        </w:rPr>
      </w:pPr>
      <w:r w:rsidRPr="00FF4643">
        <w:rPr>
          <w:lang w:val="uk-UA"/>
        </w:rPr>
        <w:t>місцезнаходження: 02192, м. Київ, вул. Юності 8/2, оф. 47,</w:t>
      </w:r>
      <w:r w:rsidRPr="00FF4643">
        <w:rPr>
          <w:color w:val="000000"/>
          <w:spacing w:val="2"/>
          <w:lang w:val="uk-UA"/>
        </w:rPr>
        <w:t xml:space="preserve"> телефон: (050) 351-33-59.</w:t>
      </w:r>
    </w:p>
    <w:p w:rsidR="006B5D46" w:rsidRPr="00FF4643" w:rsidRDefault="006B5D46" w:rsidP="00960C40">
      <w:pPr>
        <w:spacing w:before="120"/>
        <w:ind w:firstLine="708"/>
        <w:jc w:val="both"/>
        <w:rPr>
          <w:lang w:val="uk-UA"/>
        </w:rPr>
      </w:pPr>
      <w:r w:rsidRPr="00FF4643">
        <w:rPr>
          <w:lang w:val="uk-UA"/>
        </w:rPr>
        <w:t xml:space="preserve">Аудит виконали: </w:t>
      </w:r>
    </w:p>
    <w:p w:rsidR="006B5D46" w:rsidRPr="00FF4643" w:rsidRDefault="006B5D46" w:rsidP="00960C40">
      <w:pPr>
        <w:ind w:firstLine="708"/>
        <w:jc w:val="both"/>
        <w:rPr>
          <w:lang w:val="uk-UA"/>
        </w:rPr>
      </w:pPr>
      <w:r w:rsidRPr="00FF4643">
        <w:rPr>
          <w:i/>
          <w:lang w:val="uk-UA"/>
        </w:rPr>
        <w:t xml:space="preserve">аудитор Пальніков Олександр Володимирович: </w:t>
      </w:r>
      <w:r w:rsidRPr="00FF4643">
        <w:rPr>
          <w:lang w:val="uk-UA"/>
        </w:rPr>
        <w:t>сертифікат аудитора А № 003742 від 24.04.1999 р.,  строком дії до 23.04.2018 р.</w:t>
      </w:r>
    </w:p>
    <w:p w:rsidR="006B5D46" w:rsidRPr="00FF4643" w:rsidRDefault="006B5D46" w:rsidP="00960C40">
      <w:pPr>
        <w:ind w:firstLine="708"/>
        <w:jc w:val="both"/>
        <w:rPr>
          <w:lang w:val="uk-UA"/>
        </w:rPr>
      </w:pPr>
      <w:r w:rsidRPr="00FF4643">
        <w:rPr>
          <w:i/>
          <w:lang w:val="uk-UA"/>
        </w:rPr>
        <w:t xml:space="preserve">аудитор  Василевич Людмила </w:t>
      </w:r>
      <w:r w:rsidRPr="00992D6B">
        <w:rPr>
          <w:i/>
          <w:lang w:val="uk-UA"/>
        </w:rPr>
        <w:t>Леонідівна:</w:t>
      </w:r>
      <w:r w:rsidRPr="00FF4643">
        <w:rPr>
          <w:i/>
          <w:lang w:val="uk-UA"/>
        </w:rPr>
        <w:t xml:space="preserve"> </w:t>
      </w:r>
      <w:r w:rsidRPr="00FF4643">
        <w:rPr>
          <w:lang w:val="uk-UA"/>
        </w:rPr>
        <w:t>сертифікат аудитора А № 005563 від 25.12.2003 р., строком дії до 25.12.2018 р.</w:t>
      </w:r>
    </w:p>
    <w:p w:rsidR="006B5D46" w:rsidRDefault="006B5D46" w:rsidP="00960C40">
      <w:pPr>
        <w:ind w:firstLine="567"/>
        <w:jc w:val="both"/>
        <w:rPr>
          <w:lang w:val="uk-UA"/>
        </w:rPr>
      </w:pPr>
    </w:p>
    <w:p w:rsidR="008947F1" w:rsidRDefault="008947F1" w:rsidP="00960C40">
      <w:pPr>
        <w:ind w:firstLine="567"/>
        <w:jc w:val="both"/>
        <w:rPr>
          <w:lang w:val="uk-UA"/>
        </w:rPr>
      </w:pPr>
    </w:p>
    <w:p w:rsidR="008947F1" w:rsidRDefault="008947F1" w:rsidP="00960C40">
      <w:pPr>
        <w:ind w:firstLine="567"/>
        <w:jc w:val="both"/>
        <w:rPr>
          <w:lang w:val="uk-UA"/>
        </w:rPr>
      </w:pPr>
    </w:p>
    <w:p w:rsidR="006B5D46" w:rsidRPr="00FF4643" w:rsidRDefault="006B5D46" w:rsidP="00960C40">
      <w:pPr>
        <w:jc w:val="both"/>
        <w:rPr>
          <w:b/>
          <w:i/>
          <w:lang w:val="uk-UA"/>
        </w:rPr>
      </w:pPr>
      <w:r w:rsidRPr="00FF4643">
        <w:rPr>
          <w:b/>
          <w:i/>
          <w:lang w:val="uk-UA"/>
        </w:rPr>
        <w:lastRenderedPageBreak/>
        <w:t>Відомості про умови Договору</w:t>
      </w:r>
    </w:p>
    <w:p w:rsidR="006B5D46" w:rsidRPr="00FF4643" w:rsidRDefault="006B5D46" w:rsidP="00960C40">
      <w:pPr>
        <w:spacing w:before="120"/>
        <w:ind w:firstLine="720"/>
        <w:jc w:val="both"/>
        <w:rPr>
          <w:color w:val="0000FF"/>
          <w:lang w:val="uk-UA"/>
        </w:rPr>
      </w:pPr>
      <w:r w:rsidRPr="00FF4643">
        <w:rPr>
          <w:lang w:val="uk-UA"/>
        </w:rPr>
        <w:t xml:space="preserve">Аудит фінансової звітності, іншої інформації, що розкривається, </w:t>
      </w:r>
      <w:r w:rsidRPr="00FF4643">
        <w:rPr>
          <w:b/>
          <w:lang w:val="uk-UA"/>
        </w:rPr>
        <w:t>Приватного акціонерного товариства «Страхова компанія «Реноме»</w:t>
      </w:r>
      <w:r w:rsidRPr="00FF4643">
        <w:rPr>
          <w:lang w:val="uk-UA"/>
        </w:rPr>
        <w:t xml:space="preserve"> за 2015 рік проведено приватною аудиторською фірмою «Олександр і К» згідно з договором № 03/16 від 15.02.2016 р. за місцезнаходженням </w:t>
      </w:r>
      <w:r w:rsidRPr="00992D6B">
        <w:rPr>
          <w:lang w:val="uk-UA"/>
        </w:rPr>
        <w:t>ПрАТ «СК «Реноме».</w:t>
      </w:r>
    </w:p>
    <w:p w:rsidR="00A5133C" w:rsidRPr="00A5133C" w:rsidRDefault="00A5133C" w:rsidP="008947F1">
      <w:pPr>
        <w:shd w:val="clear" w:color="auto" w:fill="FFFFFF"/>
        <w:spacing w:before="120" w:line="269" w:lineRule="exact"/>
        <w:jc w:val="both"/>
        <w:rPr>
          <w:rFonts w:eastAsia="Times New Roman"/>
          <w:color w:val="000000"/>
          <w:lang w:val="uk-UA"/>
        </w:rPr>
      </w:pPr>
      <w:r w:rsidRPr="00A5133C">
        <w:rPr>
          <w:rFonts w:eastAsia="Times New Roman"/>
          <w:color w:val="000000"/>
          <w:lang w:val="uk-UA"/>
        </w:rPr>
        <w:t xml:space="preserve">Дата початку проведення аудиту –          </w:t>
      </w:r>
      <w:r w:rsidRPr="00A5133C">
        <w:rPr>
          <w:rFonts w:eastAsia="Times New Roman"/>
          <w:lang w:val="uk-UA"/>
        </w:rPr>
        <w:t xml:space="preserve">29 лютого </w:t>
      </w:r>
      <w:r w:rsidRPr="00A5133C">
        <w:rPr>
          <w:rFonts w:eastAsia="Times New Roman"/>
          <w:color w:val="000000"/>
          <w:lang w:val="uk-UA"/>
        </w:rPr>
        <w:t>2016 року.</w:t>
      </w:r>
      <w:r>
        <w:rPr>
          <w:rFonts w:eastAsia="Times New Roman"/>
          <w:color w:val="000000"/>
          <w:lang w:val="uk-UA"/>
        </w:rPr>
        <w:t xml:space="preserve">  </w:t>
      </w:r>
    </w:p>
    <w:p w:rsidR="00A5133C" w:rsidRPr="00A5133C" w:rsidRDefault="00A5133C" w:rsidP="00A5133C">
      <w:pPr>
        <w:shd w:val="clear" w:color="auto" w:fill="FFFFFF"/>
        <w:spacing w:line="269" w:lineRule="exact"/>
        <w:jc w:val="both"/>
        <w:rPr>
          <w:rFonts w:eastAsia="Times New Roman"/>
          <w:lang w:val="uk-UA"/>
        </w:rPr>
      </w:pPr>
      <w:r w:rsidRPr="00A5133C">
        <w:rPr>
          <w:rFonts w:eastAsia="Times New Roman"/>
          <w:color w:val="000000"/>
          <w:lang w:val="uk-UA"/>
        </w:rPr>
        <w:t xml:space="preserve">Дата закінчення проведення аудиту –      </w:t>
      </w:r>
      <w:r w:rsidRPr="00A5133C">
        <w:rPr>
          <w:rFonts w:eastAsia="Times New Roman"/>
          <w:lang w:val="uk-UA"/>
        </w:rPr>
        <w:t xml:space="preserve">11 березня </w:t>
      </w:r>
      <w:r w:rsidRPr="00A5133C">
        <w:rPr>
          <w:rFonts w:eastAsia="Times New Roman"/>
          <w:color w:val="000000"/>
          <w:lang w:val="uk-UA"/>
        </w:rPr>
        <w:t>2016 року.</w:t>
      </w:r>
      <w:r>
        <w:rPr>
          <w:rFonts w:eastAsia="Times New Roman"/>
          <w:color w:val="000000"/>
          <w:lang w:val="uk-UA"/>
        </w:rPr>
        <w:t xml:space="preserve"> </w:t>
      </w:r>
    </w:p>
    <w:p w:rsidR="006B5D46" w:rsidRPr="00FF4643" w:rsidRDefault="006B5D46" w:rsidP="00960C40">
      <w:pPr>
        <w:jc w:val="both"/>
        <w:rPr>
          <w:lang w:val="uk-UA"/>
        </w:rPr>
      </w:pPr>
    </w:p>
    <w:p w:rsidR="006B5D46" w:rsidRPr="00FF4643" w:rsidRDefault="006B5D46" w:rsidP="00960C40">
      <w:pPr>
        <w:jc w:val="both"/>
        <w:rPr>
          <w:lang w:val="uk-UA"/>
        </w:rPr>
      </w:pPr>
    </w:p>
    <w:p w:rsidR="006B5D46" w:rsidRPr="00FF4643" w:rsidRDefault="006B5D46" w:rsidP="00960C40">
      <w:pPr>
        <w:jc w:val="both"/>
        <w:rPr>
          <w:lang w:val="uk-UA"/>
        </w:rPr>
      </w:pPr>
    </w:p>
    <w:p w:rsidR="006B5D46" w:rsidRPr="00FF4643" w:rsidRDefault="006B5D46" w:rsidP="00960C40">
      <w:pPr>
        <w:jc w:val="both"/>
        <w:rPr>
          <w:lang w:val="uk-UA"/>
        </w:rPr>
      </w:pPr>
    </w:p>
    <w:p w:rsidR="006B5D46" w:rsidRPr="00FF4643" w:rsidRDefault="006B5D46" w:rsidP="00960C40">
      <w:pPr>
        <w:jc w:val="both"/>
        <w:rPr>
          <w:lang w:val="uk-UA"/>
        </w:rPr>
      </w:pPr>
    </w:p>
    <w:p w:rsidR="006B5D46" w:rsidRPr="00FF4643" w:rsidRDefault="006B5D46" w:rsidP="00960C40">
      <w:pPr>
        <w:jc w:val="both"/>
        <w:rPr>
          <w:lang w:val="uk-UA"/>
        </w:rPr>
      </w:pPr>
      <w:r w:rsidRPr="00FF4643">
        <w:rPr>
          <w:lang w:val="uk-UA"/>
        </w:rPr>
        <w:t>Директор ПАФ  «Олександр і К»                                                     О.В.Пальніков</w:t>
      </w:r>
    </w:p>
    <w:p w:rsidR="006B5D46" w:rsidRPr="00FF4643" w:rsidRDefault="006B5D46" w:rsidP="00960C40">
      <w:pPr>
        <w:ind w:right="-65"/>
        <w:jc w:val="both"/>
        <w:rPr>
          <w:u w:val="single"/>
          <w:lang w:val="uk-UA"/>
        </w:rPr>
      </w:pPr>
    </w:p>
    <w:p w:rsidR="006B5D46" w:rsidRPr="00FF4643" w:rsidRDefault="006B5D46" w:rsidP="00960C40">
      <w:pPr>
        <w:ind w:right="-65"/>
        <w:jc w:val="both"/>
        <w:rPr>
          <w:u w:val="single"/>
          <w:lang w:val="uk-UA"/>
        </w:rPr>
      </w:pPr>
    </w:p>
    <w:p w:rsidR="006B5D46" w:rsidRPr="00FF4643" w:rsidRDefault="006B5D46" w:rsidP="00960C40">
      <w:pPr>
        <w:ind w:right="-65"/>
        <w:jc w:val="both"/>
        <w:rPr>
          <w:u w:val="single"/>
          <w:lang w:val="uk-UA"/>
        </w:rPr>
      </w:pPr>
    </w:p>
    <w:p w:rsidR="006B5D46" w:rsidRPr="00FF4643" w:rsidRDefault="006B5D46" w:rsidP="00960C40">
      <w:pPr>
        <w:ind w:right="-65"/>
        <w:jc w:val="both"/>
        <w:rPr>
          <w:lang w:val="uk-UA"/>
        </w:rPr>
      </w:pPr>
      <w:r w:rsidRPr="00FF4643">
        <w:rPr>
          <w:lang w:val="uk-UA"/>
        </w:rPr>
        <w:t xml:space="preserve">Аудитор   ПАФ  «Олександр і К»                                                     Л.Л.Василевич   </w:t>
      </w:r>
    </w:p>
    <w:p w:rsidR="006B5D46" w:rsidRPr="00FF4643" w:rsidRDefault="006B5D46" w:rsidP="00960C40">
      <w:pPr>
        <w:ind w:right="-65"/>
        <w:jc w:val="both"/>
        <w:rPr>
          <w:u w:val="single"/>
          <w:lang w:val="uk-UA"/>
        </w:rPr>
      </w:pPr>
    </w:p>
    <w:p w:rsidR="006B5D46" w:rsidRPr="00FF4643" w:rsidRDefault="006B5D46" w:rsidP="00960C40">
      <w:pPr>
        <w:ind w:right="-65"/>
        <w:jc w:val="both"/>
        <w:rPr>
          <w:u w:val="single"/>
          <w:lang w:val="uk-UA"/>
        </w:rPr>
      </w:pPr>
    </w:p>
    <w:p w:rsidR="00A5133C" w:rsidRPr="00A5133C" w:rsidRDefault="00A5133C" w:rsidP="00A5133C">
      <w:pPr>
        <w:ind w:right="-65"/>
        <w:jc w:val="both"/>
        <w:rPr>
          <w:rFonts w:eastAsia="Times New Roman"/>
          <w:u w:val="single"/>
          <w:lang w:val="uk-UA"/>
        </w:rPr>
      </w:pPr>
      <w:r w:rsidRPr="00A5133C">
        <w:rPr>
          <w:rFonts w:eastAsia="Times New Roman"/>
          <w:u w:val="single"/>
          <w:lang w:val="uk-UA"/>
        </w:rPr>
        <w:t>Дата аудиторського висновку –  14 березня 2016 року</w:t>
      </w:r>
      <w:r>
        <w:rPr>
          <w:rFonts w:eastAsia="Times New Roman"/>
          <w:u w:val="single"/>
          <w:lang w:val="uk-UA"/>
        </w:rPr>
        <w:t xml:space="preserve">  </w:t>
      </w:r>
    </w:p>
    <w:p w:rsidR="006B5D46" w:rsidRPr="00FF4643" w:rsidRDefault="006B5D46" w:rsidP="00960C40">
      <w:pPr>
        <w:rPr>
          <w:lang w:val="uk-UA"/>
        </w:rPr>
      </w:pPr>
    </w:p>
    <w:p w:rsidR="006B5D46" w:rsidRPr="00FF4643" w:rsidRDefault="006B5D46">
      <w:pPr>
        <w:rPr>
          <w:lang w:val="uk-UA"/>
        </w:rPr>
      </w:pPr>
    </w:p>
    <w:sectPr w:rsidR="006B5D46" w:rsidRPr="00FF4643" w:rsidSect="0037566C">
      <w:footerReference w:type="even"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389" w:rsidRDefault="00CD6389" w:rsidP="00F871BE">
      <w:r>
        <w:separator/>
      </w:r>
    </w:p>
  </w:endnote>
  <w:endnote w:type="continuationSeparator" w:id="0">
    <w:p w:rsidR="00CD6389" w:rsidRDefault="00CD6389" w:rsidP="00F87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ET Cyr">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46" w:rsidRDefault="00F274BB" w:rsidP="0037566C">
    <w:pPr>
      <w:pStyle w:val="a4"/>
      <w:framePr w:wrap="around" w:vAnchor="text" w:hAnchor="margin" w:xAlign="center" w:y="1"/>
      <w:rPr>
        <w:rStyle w:val="a6"/>
      </w:rPr>
    </w:pPr>
    <w:r>
      <w:rPr>
        <w:rStyle w:val="a6"/>
      </w:rPr>
      <w:fldChar w:fldCharType="begin"/>
    </w:r>
    <w:r w:rsidR="006B5D46">
      <w:rPr>
        <w:rStyle w:val="a6"/>
      </w:rPr>
      <w:instrText xml:space="preserve">PAGE  </w:instrText>
    </w:r>
    <w:r>
      <w:rPr>
        <w:rStyle w:val="a6"/>
      </w:rPr>
      <w:fldChar w:fldCharType="separate"/>
    </w:r>
    <w:r w:rsidR="006B5D46">
      <w:rPr>
        <w:rStyle w:val="a6"/>
        <w:noProof/>
      </w:rPr>
      <w:t>5</w:t>
    </w:r>
    <w:r>
      <w:rPr>
        <w:rStyle w:val="a6"/>
      </w:rPr>
      <w:fldChar w:fldCharType="end"/>
    </w:r>
  </w:p>
  <w:p w:rsidR="006B5D46" w:rsidRDefault="006B5D4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46" w:rsidRDefault="00F274BB" w:rsidP="0037566C">
    <w:pPr>
      <w:pStyle w:val="a4"/>
      <w:framePr w:wrap="around" w:vAnchor="text" w:hAnchor="margin" w:xAlign="center" w:y="1"/>
      <w:rPr>
        <w:rStyle w:val="a6"/>
      </w:rPr>
    </w:pPr>
    <w:r>
      <w:rPr>
        <w:rStyle w:val="a6"/>
      </w:rPr>
      <w:fldChar w:fldCharType="begin"/>
    </w:r>
    <w:r w:rsidR="006B5D46">
      <w:rPr>
        <w:rStyle w:val="a6"/>
      </w:rPr>
      <w:instrText xml:space="preserve">PAGE  </w:instrText>
    </w:r>
    <w:r>
      <w:rPr>
        <w:rStyle w:val="a6"/>
      </w:rPr>
      <w:fldChar w:fldCharType="separate"/>
    </w:r>
    <w:r w:rsidR="00D82922">
      <w:rPr>
        <w:rStyle w:val="a6"/>
        <w:noProof/>
      </w:rPr>
      <w:t>7</w:t>
    </w:r>
    <w:r>
      <w:rPr>
        <w:rStyle w:val="a6"/>
      </w:rPr>
      <w:fldChar w:fldCharType="end"/>
    </w:r>
  </w:p>
  <w:p w:rsidR="006B5D46" w:rsidRDefault="006B5D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389" w:rsidRDefault="00CD6389" w:rsidP="00F871BE">
      <w:r>
        <w:separator/>
      </w:r>
    </w:p>
  </w:footnote>
  <w:footnote w:type="continuationSeparator" w:id="0">
    <w:p w:rsidR="00CD6389" w:rsidRDefault="00CD6389" w:rsidP="00F8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5635"/>
    <w:multiLevelType w:val="hybridMultilevel"/>
    <w:tmpl w:val="F4422EB4"/>
    <w:lvl w:ilvl="0" w:tplc="065AFB4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692771"/>
    <w:multiLevelType w:val="hybridMultilevel"/>
    <w:tmpl w:val="B7B06494"/>
    <w:lvl w:ilvl="0" w:tplc="C6228CEA">
      <w:start w:val="1"/>
      <w:numFmt w:val="bullet"/>
      <w:lvlText w:val=""/>
      <w:lvlJc w:val="left"/>
      <w:pPr>
        <w:tabs>
          <w:tab w:val="num" w:pos="357"/>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392C00"/>
    <w:multiLevelType w:val="hybridMultilevel"/>
    <w:tmpl w:val="6512C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740D6D"/>
    <w:multiLevelType w:val="hybridMultilevel"/>
    <w:tmpl w:val="A7E23C76"/>
    <w:lvl w:ilvl="0" w:tplc="A68CFC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37E4E22"/>
    <w:multiLevelType w:val="hybridMultilevel"/>
    <w:tmpl w:val="43B846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C365573"/>
    <w:multiLevelType w:val="hybridMultilevel"/>
    <w:tmpl w:val="50B211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667A2E62"/>
    <w:multiLevelType w:val="hybridMultilevel"/>
    <w:tmpl w:val="3A3A16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929645E"/>
    <w:multiLevelType w:val="hybridMultilevel"/>
    <w:tmpl w:val="635A05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C40"/>
    <w:rsid w:val="00003C39"/>
    <w:rsid w:val="000237BA"/>
    <w:rsid w:val="000302B1"/>
    <w:rsid w:val="00035952"/>
    <w:rsid w:val="00050170"/>
    <w:rsid w:val="00055FDB"/>
    <w:rsid w:val="00097326"/>
    <w:rsid w:val="000C789A"/>
    <w:rsid w:val="001030EB"/>
    <w:rsid w:val="0013413E"/>
    <w:rsid w:val="00181204"/>
    <w:rsid w:val="0018765D"/>
    <w:rsid w:val="001B7E5B"/>
    <w:rsid w:val="001C5234"/>
    <w:rsid w:val="001D620A"/>
    <w:rsid w:val="001F72D5"/>
    <w:rsid w:val="00210E46"/>
    <w:rsid w:val="002126D5"/>
    <w:rsid w:val="00256A2F"/>
    <w:rsid w:val="0028550D"/>
    <w:rsid w:val="002B24BC"/>
    <w:rsid w:val="002D50D0"/>
    <w:rsid w:val="00300381"/>
    <w:rsid w:val="003101C8"/>
    <w:rsid w:val="0031447F"/>
    <w:rsid w:val="003655BC"/>
    <w:rsid w:val="003750DE"/>
    <w:rsid w:val="0037566C"/>
    <w:rsid w:val="00396A28"/>
    <w:rsid w:val="003A1727"/>
    <w:rsid w:val="0040258D"/>
    <w:rsid w:val="00406FA6"/>
    <w:rsid w:val="0042755C"/>
    <w:rsid w:val="004301CC"/>
    <w:rsid w:val="00432BC7"/>
    <w:rsid w:val="00434AC9"/>
    <w:rsid w:val="0045076C"/>
    <w:rsid w:val="004969E4"/>
    <w:rsid w:val="004A031A"/>
    <w:rsid w:val="004B1A2A"/>
    <w:rsid w:val="004D2095"/>
    <w:rsid w:val="004E7EC6"/>
    <w:rsid w:val="00501FE3"/>
    <w:rsid w:val="00562574"/>
    <w:rsid w:val="00597B5A"/>
    <w:rsid w:val="006246A5"/>
    <w:rsid w:val="00653556"/>
    <w:rsid w:val="00670332"/>
    <w:rsid w:val="006B1DBE"/>
    <w:rsid w:val="006B5D46"/>
    <w:rsid w:val="007162A4"/>
    <w:rsid w:val="0073441F"/>
    <w:rsid w:val="00763663"/>
    <w:rsid w:val="00770D95"/>
    <w:rsid w:val="00780BCA"/>
    <w:rsid w:val="007A149A"/>
    <w:rsid w:val="007F1C4B"/>
    <w:rsid w:val="00830F33"/>
    <w:rsid w:val="008402F2"/>
    <w:rsid w:val="00862DBC"/>
    <w:rsid w:val="0088518E"/>
    <w:rsid w:val="00890830"/>
    <w:rsid w:val="008947F1"/>
    <w:rsid w:val="008F0B7E"/>
    <w:rsid w:val="00903900"/>
    <w:rsid w:val="00952AE6"/>
    <w:rsid w:val="00960C40"/>
    <w:rsid w:val="009629BD"/>
    <w:rsid w:val="00992D6B"/>
    <w:rsid w:val="009979E8"/>
    <w:rsid w:val="009A2F8B"/>
    <w:rsid w:val="009A4A48"/>
    <w:rsid w:val="009A5BE4"/>
    <w:rsid w:val="009D156C"/>
    <w:rsid w:val="009E3BD1"/>
    <w:rsid w:val="009F34FD"/>
    <w:rsid w:val="00A162E4"/>
    <w:rsid w:val="00A16C3A"/>
    <w:rsid w:val="00A250F3"/>
    <w:rsid w:val="00A327EA"/>
    <w:rsid w:val="00A44DDB"/>
    <w:rsid w:val="00A51092"/>
    <w:rsid w:val="00A5133C"/>
    <w:rsid w:val="00A532C3"/>
    <w:rsid w:val="00A60627"/>
    <w:rsid w:val="00AA1E4A"/>
    <w:rsid w:val="00B24136"/>
    <w:rsid w:val="00BA0290"/>
    <w:rsid w:val="00BD2F53"/>
    <w:rsid w:val="00BE5ADF"/>
    <w:rsid w:val="00C5503B"/>
    <w:rsid w:val="00C72CC1"/>
    <w:rsid w:val="00CB413E"/>
    <w:rsid w:val="00CD08FB"/>
    <w:rsid w:val="00CD58BC"/>
    <w:rsid w:val="00CD6389"/>
    <w:rsid w:val="00CF0DF8"/>
    <w:rsid w:val="00D06DA8"/>
    <w:rsid w:val="00D2769C"/>
    <w:rsid w:val="00D32704"/>
    <w:rsid w:val="00D638AB"/>
    <w:rsid w:val="00D63A38"/>
    <w:rsid w:val="00D719C6"/>
    <w:rsid w:val="00D7619F"/>
    <w:rsid w:val="00D81AA0"/>
    <w:rsid w:val="00D82922"/>
    <w:rsid w:val="00D83E23"/>
    <w:rsid w:val="00D95872"/>
    <w:rsid w:val="00DA133A"/>
    <w:rsid w:val="00DB6C2E"/>
    <w:rsid w:val="00DC38AF"/>
    <w:rsid w:val="00E05457"/>
    <w:rsid w:val="00E6012A"/>
    <w:rsid w:val="00E64F94"/>
    <w:rsid w:val="00EB575C"/>
    <w:rsid w:val="00EC1937"/>
    <w:rsid w:val="00ED485D"/>
    <w:rsid w:val="00EE14FA"/>
    <w:rsid w:val="00EE235E"/>
    <w:rsid w:val="00F16A21"/>
    <w:rsid w:val="00F2590A"/>
    <w:rsid w:val="00F274BB"/>
    <w:rsid w:val="00F36987"/>
    <w:rsid w:val="00F424CC"/>
    <w:rsid w:val="00F551E5"/>
    <w:rsid w:val="00F871BE"/>
    <w:rsid w:val="00FF4643"/>
    <w:rsid w:val="00FF527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663"/>
    <w:rPr>
      <w:rFonts w:ascii="Times New Roman" w:hAnsi="Times New Roman"/>
      <w:sz w:val="24"/>
      <w:szCs w:val="24"/>
      <w:lang w:val="ru-RU" w:eastAsia="ru-RU"/>
    </w:rPr>
  </w:style>
  <w:style w:type="paragraph" w:styleId="1">
    <w:name w:val="heading 1"/>
    <w:basedOn w:val="a"/>
    <w:next w:val="a"/>
    <w:link w:val="10"/>
    <w:uiPriority w:val="99"/>
    <w:qFormat/>
    <w:rsid w:val="00952AE6"/>
    <w:pPr>
      <w:keepNext/>
      <w:widowControl w:val="0"/>
      <w:overflowPunct w:val="0"/>
      <w:autoSpaceDE w:val="0"/>
      <w:autoSpaceDN w:val="0"/>
      <w:adjustRightInd w:val="0"/>
      <w:jc w:val="both"/>
      <w:outlineLvl w:val="0"/>
    </w:pPr>
    <w:rPr>
      <w:rFonts w:eastAsia="Times New Roman"/>
      <w:szCs w:val="20"/>
      <w:u w:val="single"/>
    </w:rPr>
  </w:style>
  <w:style w:type="paragraph" w:styleId="2">
    <w:name w:val="heading 2"/>
    <w:basedOn w:val="a"/>
    <w:next w:val="a"/>
    <w:link w:val="20"/>
    <w:uiPriority w:val="99"/>
    <w:qFormat/>
    <w:rsid w:val="00952AE6"/>
    <w:pPr>
      <w:keepNext/>
      <w:ind w:right="-70"/>
      <w:jc w:val="center"/>
      <w:outlineLvl w:val="1"/>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2AE6"/>
    <w:rPr>
      <w:rFonts w:ascii="Times New Roman" w:hAnsi="Times New Roman" w:cs="Times New Roman"/>
      <w:sz w:val="20"/>
      <w:szCs w:val="20"/>
      <w:u w:val="single"/>
      <w:lang w:val="ru-RU" w:eastAsia="ru-RU"/>
    </w:rPr>
  </w:style>
  <w:style w:type="character" w:customStyle="1" w:styleId="20">
    <w:name w:val="Заголовок 2 Знак"/>
    <w:basedOn w:val="a0"/>
    <w:link w:val="2"/>
    <w:uiPriority w:val="99"/>
    <w:locked/>
    <w:rsid w:val="00952AE6"/>
    <w:rPr>
      <w:rFonts w:ascii="Times New Roman" w:hAnsi="Times New Roman" w:cs="Times New Roman"/>
      <w:b/>
      <w:sz w:val="24"/>
      <w:szCs w:val="24"/>
      <w:lang w:val="ru-RU" w:eastAsia="ru-RU"/>
    </w:rPr>
  </w:style>
  <w:style w:type="paragraph" w:styleId="a3">
    <w:name w:val="No Spacing"/>
    <w:uiPriority w:val="99"/>
    <w:qFormat/>
    <w:rsid w:val="00952AE6"/>
    <w:rPr>
      <w:rFonts w:ascii="Times New Roman" w:eastAsia="Times New Roman" w:hAnsi="Times New Roman"/>
      <w:sz w:val="24"/>
      <w:szCs w:val="24"/>
      <w:lang w:val="ru-RU" w:eastAsia="ru-RU"/>
    </w:rPr>
  </w:style>
  <w:style w:type="paragraph" w:styleId="a4">
    <w:name w:val="footer"/>
    <w:basedOn w:val="a"/>
    <w:link w:val="a5"/>
    <w:uiPriority w:val="99"/>
    <w:semiHidden/>
    <w:rsid w:val="00960C40"/>
    <w:pPr>
      <w:tabs>
        <w:tab w:val="center" w:pos="4819"/>
        <w:tab w:val="right" w:pos="9639"/>
      </w:tabs>
    </w:pPr>
  </w:style>
  <w:style w:type="character" w:customStyle="1" w:styleId="a5">
    <w:name w:val="Нижний колонтитул Знак"/>
    <w:basedOn w:val="a0"/>
    <w:link w:val="a4"/>
    <w:uiPriority w:val="99"/>
    <w:semiHidden/>
    <w:locked/>
    <w:rsid w:val="00960C40"/>
    <w:rPr>
      <w:rFonts w:ascii="Times New Roman" w:hAnsi="Times New Roman" w:cs="Times New Roman"/>
      <w:sz w:val="24"/>
      <w:szCs w:val="24"/>
      <w:lang w:val="ru-RU" w:eastAsia="ru-RU"/>
    </w:rPr>
  </w:style>
  <w:style w:type="character" w:styleId="a6">
    <w:name w:val="page number"/>
    <w:basedOn w:val="a0"/>
    <w:uiPriority w:val="99"/>
    <w:rsid w:val="00960C40"/>
    <w:rPr>
      <w:rFonts w:cs="Times New Roman"/>
    </w:rPr>
  </w:style>
  <w:style w:type="paragraph" w:styleId="a7">
    <w:name w:val="List Paragraph"/>
    <w:basedOn w:val="a"/>
    <w:uiPriority w:val="99"/>
    <w:qFormat/>
    <w:rsid w:val="00AA1E4A"/>
    <w:pPr>
      <w:ind w:left="720"/>
      <w:contextualSpacing/>
    </w:pPr>
  </w:style>
  <w:style w:type="paragraph" w:styleId="a8">
    <w:name w:val="Body Text"/>
    <w:basedOn w:val="a"/>
    <w:link w:val="a9"/>
    <w:uiPriority w:val="99"/>
    <w:rsid w:val="00F551E5"/>
    <w:pPr>
      <w:widowControl w:val="0"/>
      <w:spacing w:after="120"/>
    </w:pPr>
    <w:rPr>
      <w:rFonts w:eastAsia="Times New Roman"/>
      <w:sz w:val="20"/>
      <w:szCs w:val="20"/>
    </w:rPr>
  </w:style>
  <w:style w:type="character" w:customStyle="1" w:styleId="a9">
    <w:name w:val="Основной текст Знак"/>
    <w:basedOn w:val="a0"/>
    <w:link w:val="a8"/>
    <w:uiPriority w:val="99"/>
    <w:locked/>
    <w:rsid w:val="00F551E5"/>
    <w:rPr>
      <w:rFonts w:ascii="Times New Roman" w:hAnsi="Times New Roman" w:cs="Times New Roman"/>
      <w:sz w:val="20"/>
      <w:szCs w:val="20"/>
      <w:lang w:val="ru-RU" w:eastAsia="ru-RU"/>
    </w:rPr>
  </w:style>
  <w:style w:type="table" w:styleId="aa">
    <w:name w:val="Table Grid"/>
    <w:basedOn w:val="a1"/>
    <w:locked/>
    <w:rsid w:val="002855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28550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6E541-5F63-4B27-8425-2D193835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12972</Words>
  <Characters>7395</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2016-03-20T06:39:00Z</dcterms:created>
  <dcterms:modified xsi:type="dcterms:W3CDTF">2016-03-24T09:10:00Z</dcterms:modified>
</cp:coreProperties>
</file>